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202</w:t>
      </w:r>
      <w:r>
        <w:rPr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年常熟市教育系统女职工工作情况一览表</w:t>
      </w:r>
    </w:p>
    <w:bookmarkEnd w:id="0"/>
    <w:p>
      <w:pPr>
        <w:spacing w:line="240" w:lineRule="exact"/>
        <w:rPr>
          <w:rFonts w:hint="eastAsia"/>
          <w:sz w:val="24"/>
          <w:u w:val="single"/>
        </w:rPr>
      </w:pP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3656"/>
        <w:gridCol w:w="1700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  位</w:t>
            </w:r>
          </w:p>
        </w:tc>
        <w:tc>
          <w:tcPr>
            <w:tcW w:w="36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常熟高新园中等专业学校工会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女职工人数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spacing w:line="600" w:lineRule="exact"/>
              <w:ind w:left="3120" w:leftChars="0" w:hanging="3120" w:hangingChars="13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125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35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女工主任</w:t>
            </w:r>
          </w:p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757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尤芳蓉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573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手机：13616233239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gridSpan w:val="4"/>
            <w:noWrap w:val="0"/>
            <w:vAlign w:val="top"/>
          </w:tcPr>
          <w:p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合理化建议            条，被采纳         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53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本级女职工条线本年度获得的荣誉</w:t>
            </w:r>
          </w:p>
        </w:tc>
        <w:tc>
          <w:tcPr>
            <w:tcW w:w="7573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spacing w:line="6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</w:trPr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展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的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动</w:t>
            </w:r>
          </w:p>
        </w:tc>
        <w:tc>
          <w:tcPr>
            <w:tcW w:w="7573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2月份女工委工作计划。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3月组织女教职工三八节活动。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4月份女教职工妇女病普查。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5月份配合工会做好春季教工趣味运动会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7-8月份常熟市“最美家庭”寻访推荐工作。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10月份配合工会做好全校教职工体检工作。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10月份配合工会做好秋季教工趣味运动会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11月份配合工会做好“全民健身，绘就幸福生活”主题健走活动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9、10月份女工委工作总结。</w:t>
            </w:r>
          </w:p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10、慰问生育、手术住院女教职工。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1535" w:type="dxa"/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全年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度女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职工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573" w:type="dxa"/>
            <w:gridSpan w:val="3"/>
            <w:noWrap w:val="0"/>
            <w:vAlign w:val="top"/>
          </w:tcPr>
          <w:p>
            <w:pPr>
              <w:ind w:firstLine="480" w:firstLineChars="200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吴亚获常熟市教育系统优秀“园丁先锋”称号，唐力、胡静怡被评为常熟市教育系统优秀共产党员，王艺等6位教师在江苏省“文明风采”活动中被评为优秀指导教师，邢珺等6位教师被评为常熟市职业单三优秀学科教师，丁军华、王艺被评为常熟市职业单三优秀班主任，周文雨、高明菁、顾宏圆获常熟市职业学校“优秀见习教师”称号，俞妍旻等8位教师被评为常熟市学科带头人，顾薇等10位教师被评为常熟市教学能手，陈婷婷等4位教师被评为常熟市优秀班主任，顾颖等6位教师在苏州市“文明风采”活动中被评为优秀指导教师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胡静怡在</w:t>
            </w:r>
            <w:r>
              <w:rPr>
                <w:rFonts w:hint="eastAsia"/>
                <w:sz w:val="24"/>
              </w:rPr>
              <w:t>首届苏州市教育系统教职工体育文化艺术节个人才艺比赛</w:t>
            </w:r>
            <w:r>
              <w:rPr>
                <w:rFonts w:hint="eastAsia"/>
                <w:sz w:val="24"/>
                <w:lang w:val="en-US" w:eastAsia="zh-CN"/>
              </w:rPr>
              <w:t>中舞蹈《红心》一等奖。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/>
          <w:sz w:val="30"/>
          <w:szCs w:val="30"/>
        </w:rPr>
      </w:pPr>
      <w:r>
        <w:rPr>
          <w:rFonts w:hint="eastAsia"/>
          <w:sz w:val="24"/>
        </w:rPr>
        <w:t>注：1. 此表请女职工主任填写，由主席代为上交</w:t>
      </w:r>
      <w:r>
        <w:rPr>
          <w:rFonts w:hint="eastAsia"/>
          <w:sz w:val="30"/>
          <w:szCs w:val="30"/>
        </w:rPr>
        <w:t>。</w:t>
      </w:r>
    </w:p>
    <w:p>
      <w:pPr>
        <w:numPr>
          <w:ilvl w:val="0"/>
          <w:numId w:val="2"/>
        </w:numPr>
        <w:spacing w:line="3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此表代替年度工作总结。</w:t>
      </w:r>
    </w:p>
    <w:p>
      <w:pPr>
        <w:numPr>
          <w:ilvl w:val="0"/>
          <w:numId w:val="0"/>
        </w:numPr>
        <w:spacing w:line="300" w:lineRule="exact"/>
        <w:rPr>
          <w:rFonts w:hint="eastAsia"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9B5505"/>
    <w:multiLevelType w:val="singleLevel"/>
    <w:tmpl w:val="DF9B5505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0000000D"/>
    <w:multiLevelType w:val="multilevel"/>
    <w:tmpl w:val="0000000D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OGYwNTMxYmJkMDE1YmU2OGU5OTY5NDNmNzAxOTMifQ=="/>
  </w:docVars>
  <w:rsids>
    <w:rsidRoot w:val="19B71C68"/>
    <w:rsid w:val="0B534AEA"/>
    <w:rsid w:val="19B71C68"/>
    <w:rsid w:val="258C6681"/>
    <w:rsid w:val="2A2513BC"/>
    <w:rsid w:val="3107300C"/>
    <w:rsid w:val="323C100D"/>
    <w:rsid w:val="348B0508"/>
    <w:rsid w:val="37FB68A8"/>
    <w:rsid w:val="3F6D105C"/>
    <w:rsid w:val="40FA548A"/>
    <w:rsid w:val="413D0337"/>
    <w:rsid w:val="53452EF8"/>
    <w:rsid w:val="55F04683"/>
    <w:rsid w:val="57751D4A"/>
    <w:rsid w:val="5B695F49"/>
    <w:rsid w:val="6C3F1FFD"/>
    <w:rsid w:val="72A83CCB"/>
    <w:rsid w:val="7DEA69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2023-12-04T05:28:00Z</dcterms:created>
  <dc:creator>MYPC</dc:creator>
  <cp:lastModifiedBy>一小粒糖</cp:lastModifiedBy>
  <dcterms:modified xsi:type="dcterms:W3CDTF">2023-12-20T09:08:23Z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CD73A031016B46E6ABFBD72E80A428AE_13</vt:lpwstr>
  </property>
</Properties>
</file>