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常熟高新园中等专业学校第1</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批微型课题</w:t>
      </w:r>
      <w:r>
        <w:rPr>
          <w:rFonts w:hint="eastAsia" w:ascii="宋体" w:hAnsi="宋体" w:eastAsia="宋体" w:cs="宋体"/>
          <w:b/>
          <w:bCs/>
          <w:sz w:val="32"/>
          <w:szCs w:val="32"/>
          <w:lang w:eastAsia="zh-CN"/>
        </w:rPr>
        <w:t>立项</w:t>
      </w:r>
      <w:r>
        <w:rPr>
          <w:rFonts w:hint="eastAsia" w:ascii="宋体" w:hAnsi="宋体" w:eastAsia="宋体" w:cs="宋体"/>
          <w:b/>
          <w:bCs/>
          <w:sz w:val="32"/>
          <w:szCs w:val="32"/>
          <w:lang w:val="en-US" w:eastAsia="zh-CN"/>
        </w:rPr>
        <w:t>统计表</w:t>
      </w:r>
      <w:bookmarkStart w:id="0" w:name="_GoBack"/>
      <w:bookmarkEnd w:id="0"/>
    </w:p>
    <w:tbl>
      <w:tblPr>
        <w:tblStyle w:val="3"/>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1417"/>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序号</w:t>
            </w:r>
          </w:p>
        </w:tc>
        <w:tc>
          <w:tcPr>
            <w:tcW w:w="5812"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课题名称</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Theme="minorEastAsia"/>
                <w:sz w:val="21"/>
                <w:szCs w:val="21"/>
                <w:lang w:eastAsia="zh-CN"/>
              </w:rPr>
            </w:pPr>
            <w:r>
              <w:rPr>
                <w:rFonts w:hint="eastAsia"/>
                <w:sz w:val="21"/>
                <w:szCs w:val="21"/>
                <w:lang w:eastAsia="zh-CN"/>
              </w:rPr>
              <w:t>主持人</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Theme="minorEastAsia"/>
                <w:sz w:val="21"/>
                <w:szCs w:val="21"/>
                <w:lang w:eastAsia="zh-CN"/>
              </w:rPr>
            </w:pPr>
            <w:r>
              <w:rPr>
                <w:rFonts w:hint="eastAsia"/>
                <w:sz w:val="21"/>
                <w:szCs w:val="21"/>
                <w:lang w:eastAsia="zh-CN"/>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1</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班级自主管理——班级管理“去中心化”实践研究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虞叶鸣</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Theme="minorEastAsia"/>
                <w:sz w:val="21"/>
                <w:szCs w:val="21"/>
                <w:lang w:val="en-US" w:eastAsia="zh-CN"/>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2</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“1+X”证书背景下中职构成基础课程重构研究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顾宏圆</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3</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Photoshop</w:t>
            </w:r>
            <w:r>
              <w:rPr>
                <w:rStyle w:val="5"/>
                <w:b w:val="0"/>
                <w:bCs w:val="0"/>
                <w:sz w:val="24"/>
                <w:szCs w:val="24"/>
                <w:lang w:val="en-US" w:eastAsia="zh-CN" w:bidi="ar"/>
              </w:rPr>
              <w:t>软件应用课程中“课赛融通”教学模式的实践研究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顾晔</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4</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校企合作视阈下的中职环艺专业“双师型”教师培养途径的实践研究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唐力</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楷体" w:hAnsi="楷体" w:eastAsia="楷体" w:cs="楷体"/>
                <w:kern w:val="0"/>
                <w:sz w:val="21"/>
                <w:szCs w:val="21"/>
                <w:lang w:bidi="ar"/>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5</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基于“1+X”证书制度试点的服装设计专业“课证”融合的路径研究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李晓泽</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6</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赛教融合模式下中职导游服务类旅游服务管理专业学生专业技能提升路径研究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邵敏</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7</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基于校企融合的中职电子商务专业课程改革研究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顾丽亚</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8</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人工智能对教育教学的影响及其未来发展</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彭心悦</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9</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“以文化人”，传统文化进校园之学生社团建设初探</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徐美玲</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10</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中职二年级电子商务专业班级管理制度建设有效途径研究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周文雨</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11</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中职一年级旅游服务与管理专业学生德育管理实践研究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张丹</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12</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“岗课赛证”融合育人模式下中职《机电一体化》课程“岗课赛”融合教学改革实践研究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顾丽娜</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13</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试论电工实训教学中学生厌学现象的成因及对策</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钟鸣</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14</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现代学徒制背景下中职机械专业教师发展的路径研究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沈敏娇</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核心素养下中职英语阅读能力的探究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丁黎</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21"/>
                <w:szCs w:val="21"/>
                <w:lang w:val="en-US" w:eastAsia="zh-CN"/>
              </w:rPr>
            </w:pPr>
            <w:r>
              <w:rPr>
                <w:rFonts w:hint="eastAsia"/>
                <w:sz w:val="21"/>
                <w:szCs w:val="21"/>
                <w:lang w:val="en-US" w:eastAsia="zh-CN"/>
              </w:rPr>
              <w:t>16</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课程思政在中职英语课堂教学中融入现状调查研究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罗希</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21"/>
                <w:szCs w:val="21"/>
                <w:lang w:val="en-US" w:eastAsia="zh-CN"/>
              </w:rPr>
            </w:pPr>
            <w:r>
              <w:rPr>
                <w:rFonts w:hint="eastAsia"/>
                <w:sz w:val="21"/>
                <w:szCs w:val="21"/>
                <w:lang w:val="en-US" w:eastAsia="zh-CN"/>
              </w:rPr>
              <w:t>17</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中职舞蹈教学中的软开度训练的对策研究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沈淞</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7"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21"/>
                <w:szCs w:val="21"/>
                <w:lang w:val="en-US" w:eastAsia="zh-CN"/>
              </w:rPr>
            </w:pPr>
            <w:r>
              <w:rPr>
                <w:rFonts w:hint="eastAsia"/>
                <w:sz w:val="21"/>
                <w:szCs w:val="21"/>
                <w:lang w:val="en-US" w:eastAsia="zh-CN"/>
              </w:rPr>
              <w:t>18</w:t>
            </w:r>
          </w:p>
        </w:tc>
        <w:tc>
          <w:tcPr>
            <w:tcW w:w="58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课程思政视阈下中职声乐教学的研究与实践</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朱禹桐</w:t>
            </w:r>
          </w:p>
        </w:tc>
        <w:tc>
          <w:tcPr>
            <w:tcW w:w="1124"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lang w:val="en-US" w:eastAsia="zh-CN"/>
              </w:rPr>
              <w:t>2023.10</w:t>
            </w:r>
          </w:p>
        </w:tc>
      </w:tr>
    </w:tbl>
    <w:p>
      <w:pPr>
        <w:jc w:val="right"/>
        <w:rPr>
          <w:rFonts w:ascii="宋体" w:hAnsi="宋体" w:eastAsia="宋体" w:cs="宋体"/>
          <w:b/>
          <w:bCs/>
          <w:sz w:val="28"/>
          <w:szCs w:val="28"/>
        </w:rPr>
      </w:pPr>
      <w:r>
        <w:rPr>
          <w:rFonts w:hint="eastAsia" w:ascii="宋体" w:hAnsi="宋体" w:eastAsia="宋体" w:cs="宋体"/>
          <w:b/>
          <w:bCs/>
          <w:sz w:val="28"/>
          <w:szCs w:val="28"/>
        </w:rPr>
        <w:t>（</w:t>
      </w:r>
      <w:r>
        <w:rPr>
          <w:rFonts w:ascii="宋体" w:hAnsi="宋体" w:eastAsia="宋体" w:cs="宋体"/>
          <w:b/>
          <w:bCs/>
          <w:sz w:val="28"/>
          <w:szCs w:val="28"/>
        </w:rPr>
        <w:t>202</w:t>
      </w:r>
      <w:r>
        <w:rPr>
          <w:rFonts w:hint="eastAsia" w:ascii="宋体" w:hAnsi="宋体" w:eastAsia="宋体" w:cs="宋体"/>
          <w:b/>
          <w:bCs/>
          <w:sz w:val="28"/>
          <w:szCs w:val="28"/>
          <w:lang w:val="en-US" w:eastAsia="zh-CN"/>
        </w:rPr>
        <w:t>3</w:t>
      </w:r>
      <w:r>
        <w:rPr>
          <w:rFonts w:ascii="宋体" w:hAnsi="宋体" w:eastAsia="宋体" w:cs="宋体"/>
          <w:b/>
          <w:bCs/>
          <w:sz w:val="28"/>
          <w:szCs w:val="28"/>
        </w:rPr>
        <w:t>年</w:t>
      </w:r>
      <w:r>
        <w:rPr>
          <w:rFonts w:hint="eastAsia" w:ascii="宋体" w:hAnsi="宋体" w:eastAsia="宋体" w:cs="宋体"/>
          <w:b/>
          <w:bCs/>
          <w:sz w:val="28"/>
          <w:szCs w:val="28"/>
          <w:lang w:val="en-US" w:eastAsia="zh-CN"/>
        </w:rPr>
        <w:t>11</w:t>
      </w:r>
      <w:r>
        <w:rPr>
          <w:rFonts w:ascii="宋体" w:hAnsi="宋体" w:eastAsia="宋体" w:cs="宋体"/>
          <w:b/>
          <w:bCs/>
          <w:sz w:val="28"/>
          <w:szCs w:val="28"/>
        </w:rPr>
        <w:t>月</w:t>
      </w:r>
      <w:r>
        <w:rPr>
          <w:rFonts w:hint="eastAsia" w:ascii="宋体" w:hAnsi="宋体" w:eastAsia="宋体" w:cs="宋体"/>
          <w:b/>
          <w:bCs/>
          <w:sz w:val="28"/>
          <w:szCs w:val="28"/>
          <w:lang w:val="en-US" w:eastAsia="zh-CN"/>
        </w:rPr>
        <w:t>2</w:t>
      </w:r>
      <w:r>
        <w:rPr>
          <w:rFonts w:ascii="宋体" w:hAnsi="宋体" w:eastAsia="宋体" w:cs="宋体"/>
          <w:b/>
          <w:bCs/>
          <w:sz w:val="28"/>
          <w:szCs w:val="28"/>
        </w:rPr>
        <w:t>日星期</w:t>
      </w: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ZWQwOWUyZjdjZDJjOWRjNmNiYmZiZDE0MjA3NzkifQ=="/>
  </w:docVars>
  <w:rsids>
    <w:rsidRoot w:val="33697233"/>
    <w:rsid w:val="0CDE3BA0"/>
    <w:rsid w:val="26131891"/>
    <w:rsid w:val="2DFB0384"/>
    <w:rsid w:val="3369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444851"/>
      <w:sz w:val="24"/>
      <w:szCs w:val="24"/>
      <w:u w:val="none"/>
    </w:rPr>
  </w:style>
  <w:style w:type="character" w:customStyle="1" w:styleId="6">
    <w:name w:val="font7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2023-12-08T06:27:00Z</dcterms:created>
  <dc:creator>娜姐</dc:creator>
  <cp:lastModifiedBy>娜姐</cp:lastModifiedBy>
  <dcterms:modified xsi:type="dcterms:W3CDTF">2023-12-22T06:48:28Z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3FAEF71349FE48888A6E857A587C8244_11</vt:lpwstr>
  </property>
</Properties>
</file>