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AE" w:rsidRDefault="00D11EF2">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江苏省中等职业学校美术类专业</w:t>
      </w:r>
    </w:p>
    <w:p w:rsidR="004D27AE" w:rsidRDefault="00D11EF2">
      <w:pPr>
        <w:widowControl w:val="0"/>
        <w:topLinePunct/>
        <w:adjustRightInd w:val="0"/>
        <w:spacing w:line="240" w:lineRule="auto"/>
        <w:jc w:val="center"/>
        <w:rPr>
          <w:rFonts w:ascii="宋体" w:eastAsia="宋体" w:hAnsi="宋体" w:cs="Arial Unicode MS"/>
          <w:b/>
          <w:color w:val="auto"/>
          <w:kern w:val="2"/>
          <w:sz w:val="32"/>
          <w:szCs w:val="32"/>
        </w:rPr>
      </w:pPr>
      <w:r>
        <w:rPr>
          <w:rFonts w:ascii="宋体" w:eastAsia="宋体" w:hAnsi="宋体" w:cs="Arial Unicode MS" w:hint="eastAsia"/>
          <w:b/>
          <w:color w:val="auto"/>
          <w:kern w:val="2"/>
          <w:sz w:val="32"/>
          <w:szCs w:val="32"/>
        </w:rPr>
        <w:t>《美术设计认知》课程标准（</w:t>
      </w:r>
      <w:r>
        <w:rPr>
          <w:rFonts w:ascii="宋体" w:eastAsia="宋体" w:hAnsi="宋体" w:cs="仿宋" w:hint="eastAsia"/>
          <w:b/>
          <w:sz w:val="32"/>
          <w:szCs w:val="32"/>
        </w:rPr>
        <w:t>试行</w:t>
      </w:r>
      <w:r>
        <w:rPr>
          <w:rFonts w:ascii="宋体" w:eastAsia="宋体" w:hAnsi="宋体" w:cs="Arial Unicode MS"/>
          <w:b/>
          <w:color w:val="auto"/>
          <w:kern w:val="2"/>
          <w:sz w:val="32"/>
          <w:szCs w:val="32"/>
        </w:rPr>
        <w:t>）</w:t>
      </w:r>
    </w:p>
    <w:p w:rsidR="004D27AE" w:rsidRDefault="004D27AE">
      <w:pPr>
        <w:widowControl w:val="0"/>
        <w:topLinePunct/>
        <w:adjustRightInd w:val="0"/>
        <w:spacing w:line="240" w:lineRule="auto"/>
        <w:ind w:firstLineChars="200" w:firstLine="562"/>
        <w:rPr>
          <w:rFonts w:ascii="宋体" w:eastAsia="宋体" w:hAnsi="宋体" w:cs="黑体"/>
          <w:b/>
          <w:color w:val="auto"/>
          <w:kern w:val="2"/>
          <w:sz w:val="28"/>
          <w:szCs w:val="28"/>
        </w:rPr>
      </w:pP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一、课程性质</w:t>
      </w:r>
    </w:p>
    <w:p w:rsidR="004D27AE" w:rsidRDefault="00D11EF2">
      <w:pPr>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课程是江苏省中等职业学校美术类专业必修的一门理论与实践相结合的专业类平台课程，其任务是让美术类各专业学生掌握美术设计、美术应用等基础知识和基本技能，为培养其行业通用能力提供课程支撑，同时也为</w:t>
      </w:r>
      <w:bookmarkStart w:id="0" w:name="_Hlk88466836"/>
      <w:r>
        <w:rPr>
          <w:rFonts w:ascii="宋体" w:eastAsia="宋体" w:hAnsi="宋体" w:cs="宋体" w:hint="eastAsia"/>
          <w:color w:val="auto"/>
          <w:kern w:val="2"/>
          <w:sz w:val="24"/>
        </w:rPr>
        <w:t>《素描基础》《色彩基础》</w:t>
      </w:r>
      <w:bookmarkEnd w:id="0"/>
      <w:r>
        <w:rPr>
          <w:rFonts w:ascii="宋体" w:eastAsia="宋体" w:hAnsi="宋体" w:cs="宋体" w:hint="eastAsia"/>
          <w:color w:val="auto"/>
          <w:kern w:val="2"/>
          <w:sz w:val="24"/>
        </w:rPr>
        <w:t>《图案与装饰》等后续课程的学习奠定基础。</w:t>
      </w: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二、学时与学分</w:t>
      </w:r>
    </w:p>
    <w:p w:rsidR="004D27AE" w:rsidRDefault="00D11EF2">
      <w:pPr>
        <w:widowControl w:val="0"/>
        <w:topLinePunct/>
        <w:adjustRightInd w:val="0"/>
        <w:spacing w:line="240" w:lineRule="auto"/>
        <w:ind w:firstLineChars="200" w:firstLine="480"/>
        <w:rPr>
          <w:rFonts w:ascii="宋体" w:eastAsia="宋体" w:hAnsi="宋体" w:cs="宋体"/>
          <w:color w:val="auto"/>
          <w:kern w:val="2"/>
          <w:sz w:val="24"/>
        </w:rPr>
      </w:pPr>
      <w:r>
        <w:rPr>
          <w:rFonts w:ascii="宋体" w:eastAsia="宋体" w:hAnsi="宋体" w:cs="宋体" w:hint="eastAsia"/>
          <w:color w:val="auto"/>
          <w:kern w:val="2"/>
          <w:sz w:val="24"/>
        </w:rPr>
        <w:t>36</w:t>
      </w:r>
      <w:r>
        <w:rPr>
          <w:rFonts w:ascii="宋体" w:eastAsia="宋体" w:hAnsi="宋体" w:cs="宋体" w:hint="eastAsia"/>
          <w:color w:val="auto"/>
          <w:kern w:val="2"/>
          <w:sz w:val="24"/>
        </w:rPr>
        <w:t>学时，</w:t>
      </w:r>
      <w:r>
        <w:rPr>
          <w:rFonts w:ascii="宋体" w:eastAsia="宋体" w:hAnsi="宋体" w:cs="宋体" w:hint="eastAsia"/>
          <w:color w:val="auto"/>
          <w:kern w:val="2"/>
          <w:sz w:val="24"/>
        </w:rPr>
        <w:t>2</w:t>
      </w:r>
      <w:r>
        <w:rPr>
          <w:rFonts w:ascii="宋体" w:eastAsia="宋体" w:hAnsi="宋体" w:cs="宋体" w:hint="eastAsia"/>
          <w:color w:val="auto"/>
          <w:kern w:val="2"/>
          <w:sz w:val="24"/>
        </w:rPr>
        <w:t>学分。</w:t>
      </w: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三、课程设计思路</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本课程按照立德树人根本任务要求，突出职业</w:t>
      </w:r>
      <w:r>
        <w:rPr>
          <w:rFonts w:ascii="宋体" w:eastAsia="宋体" w:hAnsi="宋体" w:cs="宋体"/>
          <w:color w:val="auto"/>
          <w:kern w:val="2"/>
          <w:sz w:val="24"/>
        </w:rPr>
        <w:t>能力培养，兼顾中高职课程衔接，高度融合</w:t>
      </w:r>
      <w:r>
        <w:rPr>
          <w:rFonts w:ascii="宋体" w:eastAsia="宋体" w:hAnsi="宋体" w:cs="宋体" w:hint="eastAsia"/>
          <w:color w:val="auto"/>
          <w:kern w:val="2"/>
          <w:sz w:val="24"/>
        </w:rPr>
        <w:t>美术设计、美术制作等知识技能的学习</w:t>
      </w:r>
      <w:r>
        <w:rPr>
          <w:rFonts w:ascii="宋体" w:eastAsia="宋体" w:hAnsi="宋体" w:cs="宋体"/>
          <w:color w:val="auto"/>
          <w:kern w:val="2"/>
          <w:sz w:val="24"/>
        </w:rPr>
        <w:t>和职业精神</w:t>
      </w:r>
      <w:r>
        <w:rPr>
          <w:rFonts w:ascii="宋体" w:eastAsia="宋体" w:hAnsi="宋体" w:cs="宋体" w:hint="eastAsia"/>
          <w:color w:val="auto"/>
          <w:kern w:val="2"/>
          <w:sz w:val="24"/>
        </w:rPr>
        <w:t>的</w:t>
      </w:r>
      <w:r>
        <w:rPr>
          <w:rFonts w:ascii="宋体" w:eastAsia="宋体" w:hAnsi="宋体" w:cs="宋体"/>
          <w:color w:val="auto"/>
          <w:kern w:val="2"/>
          <w:sz w:val="24"/>
        </w:rPr>
        <w:t>培养。</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w:t>
      </w:r>
      <w:r>
        <w:rPr>
          <w:rFonts w:ascii="宋体" w:eastAsia="宋体" w:hAnsi="宋体" w:cs="宋体" w:hint="eastAsia"/>
          <w:color w:val="auto"/>
          <w:kern w:val="2"/>
          <w:sz w:val="24"/>
        </w:rPr>
        <w:t>依据美术专业类行业面向和职业面向，以及</w:t>
      </w:r>
      <w:bookmarkStart w:id="1" w:name="_Hlk63155804"/>
      <w:r>
        <w:rPr>
          <w:rFonts w:ascii="宋体" w:eastAsia="宋体" w:hAnsi="宋体" w:cs="宋体" w:hint="eastAsia"/>
          <w:color w:val="auto"/>
          <w:kern w:val="2"/>
          <w:sz w:val="24"/>
        </w:rPr>
        <w:t>《江苏省中等职业学校美术专业类课程指导方案》</w:t>
      </w:r>
      <w:bookmarkEnd w:id="1"/>
      <w:r>
        <w:rPr>
          <w:rFonts w:ascii="宋体" w:eastAsia="宋体" w:hAnsi="宋体" w:cs="宋体" w:hint="eastAsia"/>
          <w:color w:val="auto"/>
          <w:kern w:val="2"/>
          <w:sz w:val="24"/>
        </w:rPr>
        <w:t>中确定的人才培养定位、综合素质、行业通用能力，按照知识与技能、过程与方法、情感态度与价值观三个维度，突出调查分析、市场探寻、策略应对等能力的培养，结合学生职业生涯发展需要，确定本课程目标。</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w:t>
      </w:r>
      <w:r>
        <w:rPr>
          <w:rFonts w:ascii="宋体" w:eastAsia="宋体" w:hAnsi="宋体" w:cs="宋体" w:hint="eastAsia"/>
          <w:color w:val="auto"/>
          <w:kern w:val="2"/>
          <w:sz w:val="24"/>
        </w:rPr>
        <w:t>根据课程目标，以及</w:t>
      </w:r>
      <w:r>
        <w:rPr>
          <w:rFonts w:ascii="宋体" w:eastAsia="宋体" w:hAnsi="宋体" w:cs="宋体" w:hint="eastAsia"/>
          <w:kern w:val="2"/>
          <w:sz w:val="24"/>
        </w:rPr>
        <w:t>美术设计、美术制作</w:t>
      </w:r>
      <w:r>
        <w:rPr>
          <w:rFonts w:ascii="宋体" w:eastAsia="宋体" w:hAnsi="宋体" w:cs="宋体" w:hint="eastAsia"/>
          <w:color w:val="auto"/>
          <w:kern w:val="2"/>
          <w:sz w:val="24"/>
        </w:rPr>
        <w:t>等岗位需求，对接国家职业标准（初级）、职业技能等级标准（初级）中涉及的</w:t>
      </w:r>
      <w:r>
        <w:rPr>
          <w:rFonts w:ascii="宋体" w:eastAsia="宋体" w:hAnsi="宋体" w:cs="宋体" w:hint="eastAsia"/>
          <w:kern w:val="2"/>
          <w:sz w:val="24"/>
        </w:rPr>
        <w:t>工艺美术、绘画、民间传统工艺、艺术设计与制作</w:t>
      </w:r>
      <w:r>
        <w:rPr>
          <w:rFonts w:ascii="宋体" w:eastAsia="宋体" w:hAnsi="宋体" w:cs="宋体" w:hint="eastAsia"/>
          <w:color w:val="auto"/>
          <w:kern w:val="2"/>
          <w:sz w:val="24"/>
        </w:rPr>
        <w:t>基础理论知识、基础技能，兼顾职业道德、职业基础知识、安全知识、相关法律法规知识，反映技术进步和美术设计实际，体现科学性、前沿性、适用性原则，确定本课程内容。</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3.</w:t>
      </w:r>
      <w:r>
        <w:rPr>
          <w:rFonts w:ascii="宋体" w:eastAsia="宋体" w:hAnsi="宋体" w:cs="宋体" w:hint="eastAsia"/>
          <w:color w:val="auto"/>
          <w:kern w:val="2"/>
          <w:sz w:val="24"/>
        </w:rPr>
        <w:t>以“中华优秀传统文化、中西方美术、地方民间工艺、现代美术设计”为主线，设置模块和教学单元，将职业岗位所需要的理论知识、专业技能和职业素养有机融入，根据学生认知规律和职业成长规律，序化教学内容。</w:t>
      </w: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四、课程目标</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学生通过学习本课程，能对“中华优秀传统文化、中西方美术、地方民间工艺、现代美术设计”等有一个整体的认识，形成良好的职业道德和正确的职业观念。</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1.</w:t>
      </w:r>
      <w:r>
        <w:rPr>
          <w:rFonts w:ascii="宋体" w:eastAsia="宋体" w:hAnsi="宋体" w:cs="宋体" w:hint="eastAsia"/>
          <w:sz w:val="24"/>
        </w:rPr>
        <w:t>了解传统工艺品和现代设计中的美术设计原理，理解</w:t>
      </w:r>
      <w:r>
        <w:rPr>
          <w:rFonts w:ascii="宋体" w:eastAsia="宋体" w:hAnsi="宋体" w:cs="宋体"/>
          <w:color w:val="auto"/>
          <w:kern w:val="2"/>
          <w:sz w:val="24"/>
          <w:szCs w:val="24"/>
        </w:rPr>
        <w:t>美术应用与文化的关联，能归纳美术应用作品的文化内涵</w:t>
      </w:r>
      <w:r>
        <w:rPr>
          <w:rFonts w:ascii="宋体" w:eastAsia="宋体" w:hAnsi="宋体" w:cs="宋体" w:hint="eastAsia"/>
          <w:sz w:val="24"/>
        </w:rPr>
        <w:t>。</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w:t>
      </w:r>
      <w:r>
        <w:rPr>
          <w:rFonts w:ascii="宋体" w:eastAsia="宋体" w:hAnsi="宋体" w:cs="宋体" w:hint="eastAsia"/>
          <w:color w:val="auto"/>
          <w:kern w:val="2"/>
          <w:sz w:val="24"/>
        </w:rPr>
        <w:t>能欣赏中西方绘画及工艺美术品，并能区分绘画风格及不同工艺美术品的艺术价值。</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color w:val="auto"/>
          <w:kern w:val="2"/>
          <w:sz w:val="24"/>
        </w:rPr>
        <w:lastRenderedPageBreak/>
        <w:t>3.</w:t>
      </w:r>
      <w:r>
        <w:rPr>
          <w:rFonts w:ascii="宋体" w:eastAsia="宋体" w:hAnsi="宋体" w:cs="宋体" w:hint="eastAsia"/>
          <w:color w:val="auto"/>
          <w:kern w:val="2"/>
          <w:sz w:val="24"/>
        </w:rPr>
        <w:t>树立文化传承与创新意识，</w:t>
      </w:r>
      <w:r>
        <w:rPr>
          <w:rFonts w:ascii="宋体" w:eastAsia="宋体" w:hAnsi="宋体" w:cs="宋体" w:hint="eastAsia"/>
          <w:sz w:val="24"/>
        </w:rPr>
        <w:t>能积极参与地方非物质文化遗产的传承与创新保护。</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color w:val="auto"/>
          <w:kern w:val="2"/>
          <w:sz w:val="24"/>
          <w:szCs w:val="24"/>
        </w:rPr>
        <w:t>了解美术应用的生活内涵、文化内涵与技术内涵，</w:t>
      </w:r>
      <w:r>
        <w:rPr>
          <w:rFonts w:ascii="宋体" w:eastAsia="宋体" w:hAnsi="宋体" w:cs="宋体" w:hint="eastAsia"/>
          <w:sz w:val="24"/>
        </w:rPr>
        <w:t>能进行美术鉴赏，并能感知美、欣赏美和发现美。</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5</w:t>
      </w:r>
      <w:r>
        <w:rPr>
          <w:rFonts w:ascii="宋体" w:eastAsia="宋体" w:hAnsi="宋体" w:cs="宋体" w:hint="eastAsia"/>
          <w:color w:val="auto"/>
          <w:kern w:val="2"/>
          <w:sz w:val="24"/>
        </w:rPr>
        <w:t>.</w:t>
      </w:r>
      <w:r>
        <w:rPr>
          <w:rFonts w:ascii="宋体" w:eastAsia="宋体" w:hAnsi="宋体" w:cs="宋体" w:hint="eastAsia"/>
          <w:color w:val="auto"/>
          <w:kern w:val="2"/>
          <w:sz w:val="24"/>
        </w:rPr>
        <w:t>具有独立思考问题、分析问题、解决问题的能力，具有良好的职业道德、职业操守和严谨求实的精神。</w:t>
      </w: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五、课程内容与要求</w:t>
      </w:r>
    </w:p>
    <w:tbl>
      <w:tblPr>
        <w:tblStyle w:val="af"/>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5244"/>
        <w:gridCol w:w="851"/>
      </w:tblGrid>
      <w:tr w:rsidR="004D27AE">
        <w:trPr>
          <w:jc w:val="center"/>
        </w:trPr>
        <w:tc>
          <w:tcPr>
            <w:tcW w:w="1134" w:type="dxa"/>
            <w:vAlign w:val="center"/>
          </w:tcPr>
          <w:p w:rsidR="004D27AE" w:rsidRDefault="00D11EF2">
            <w:pPr>
              <w:widowControl w:val="0"/>
              <w:topLinePunct/>
              <w:spacing w:line="0" w:lineRule="atLeast"/>
              <w:contextualSpacing/>
              <w:jc w:val="center"/>
              <w:rPr>
                <w:rFonts w:ascii="宋体" w:eastAsia="宋体" w:hAnsi="宋体" w:cs="宋体"/>
                <w:b/>
                <w:bCs/>
                <w:color w:val="auto"/>
                <w:sz w:val="24"/>
                <w:szCs w:val="24"/>
              </w:rPr>
            </w:pPr>
            <w:r>
              <w:rPr>
                <w:rFonts w:ascii="宋体" w:eastAsia="宋体" w:hAnsi="宋体" w:cs="宋体" w:hint="eastAsia"/>
                <w:b/>
                <w:bCs/>
                <w:color w:val="auto"/>
                <w:sz w:val="24"/>
                <w:szCs w:val="24"/>
              </w:rPr>
              <w:t>模块</w:t>
            </w:r>
          </w:p>
        </w:tc>
        <w:tc>
          <w:tcPr>
            <w:tcW w:w="1560" w:type="dxa"/>
            <w:vAlign w:val="center"/>
          </w:tcPr>
          <w:p w:rsidR="004D27AE" w:rsidRDefault="00D11EF2">
            <w:pPr>
              <w:widowControl w:val="0"/>
              <w:topLinePunct/>
              <w:spacing w:line="0" w:lineRule="atLeast"/>
              <w:contextualSpacing/>
              <w:jc w:val="center"/>
              <w:rPr>
                <w:rFonts w:ascii="宋体" w:eastAsia="宋体" w:hAnsi="宋体" w:cs="宋体"/>
                <w:b/>
                <w:bCs/>
                <w:color w:val="auto"/>
                <w:sz w:val="24"/>
                <w:szCs w:val="24"/>
              </w:rPr>
            </w:pPr>
            <w:r>
              <w:rPr>
                <w:rFonts w:ascii="宋体" w:eastAsia="宋体" w:hAnsi="宋体" w:cs="宋体" w:hint="eastAsia"/>
                <w:b/>
                <w:bCs/>
                <w:color w:val="auto"/>
                <w:sz w:val="24"/>
                <w:szCs w:val="24"/>
              </w:rPr>
              <w:t>教学单元</w:t>
            </w:r>
          </w:p>
        </w:tc>
        <w:tc>
          <w:tcPr>
            <w:tcW w:w="5244" w:type="dxa"/>
            <w:vAlign w:val="center"/>
          </w:tcPr>
          <w:p w:rsidR="004D27AE" w:rsidRDefault="00D11EF2">
            <w:pPr>
              <w:widowControl w:val="0"/>
              <w:topLinePunct/>
              <w:spacing w:line="0" w:lineRule="atLeast"/>
              <w:contextualSpacing/>
              <w:jc w:val="center"/>
              <w:rPr>
                <w:rFonts w:ascii="宋体" w:eastAsia="宋体" w:hAnsi="宋体" w:cs="宋体"/>
                <w:b/>
                <w:bCs/>
                <w:color w:val="auto"/>
                <w:sz w:val="24"/>
                <w:szCs w:val="24"/>
              </w:rPr>
            </w:pPr>
            <w:r>
              <w:rPr>
                <w:rFonts w:ascii="宋体" w:eastAsia="宋体" w:hAnsi="宋体" w:cs="宋体" w:hint="eastAsia"/>
                <w:b/>
                <w:bCs/>
                <w:color w:val="auto"/>
                <w:sz w:val="24"/>
                <w:szCs w:val="24"/>
              </w:rPr>
              <w:t>内容及要求</w:t>
            </w:r>
          </w:p>
        </w:tc>
        <w:tc>
          <w:tcPr>
            <w:tcW w:w="851" w:type="dxa"/>
            <w:vAlign w:val="center"/>
          </w:tcPr>
          <w:p w:rsidR="004D27AE" w:rsidRDefault="00D11EF2">
            <w:pPr>
              <w:widowControl w:val="0"/>
              <w:topLinePunct/>
              <w:spacing w:line="0" w:lineRule="atLeast"/>
              <w:contextualSpacing/>
              <w:jc w:val="center"/>
              <w:rPr>
                <w:rFonts w:ascii="宋体" w:eastAsia="宋体" w:hAnsi="宋体" w:cs="宋体"/>
                <w:b/>
                <w:bCs/>
                <w:color w:val="auto"/>
                <w:sz w:val="24"/>
                <w:szCs w:val="24"/>
              </w:rPr>
            </w:pPr>
            <w:r>
              <w:rPr>
                <w:rFonts w:ascii="宋体" w:eastAsia="宋体" w:hAnsi="宋体" w:cs="宋体" w:hint="eastAsia"/>
                <w:b/>
                <w:bCs/>
                <w:color w:val="auto"/>
                <w:sz w:val="24"/>
                <w:szCs w:val="24"/>
              </w:rPr>
              <w:t>参考学时</w:t>
            </w:r>
          </w:p>
        </w:tc>
      </w:tr>
      <w:tr w:rsidR="004D27AE">
        <w:trPr>
          <w:trHeight w:val="1058"/>
          <w:jc w:val="center"/>
        </w:trPr>
        <w:tc>
          <w:tcPr>
            <w:tcW w:w="1134" w:type="dxa"/>
            <w:vMerge w:val="restart"/>
            <w:vAlign w:val="center"/>
          </w:tcPr>
          <w:p w:rsidR="004D27AE" w:rsidRDefault="00D11EF2">
            <w:pPr>
              <w:widowControl w:val="0"/>
              <w:topLinePunct/>
              <w:spacing w:line="0" w:lineRule="atLeast"/>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美术的应用</w:t>
            </w: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美术应用的类型和特点</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1.</w:t>
            </w:r>
            <w:r>
              <w:rPr>
                <w:rFonts w:ascii="宋体" w:eastAsia="宋体" w:hAnsi="宋体" w:cs="宋体"/>
                <w:color w:val="auto"/>
                <w:kern w:val="2"/>
                <w:sz w:val="24"/>
                <w:szCs w:val="24"/>
              </w:rPr>
              <w:t>了解美术应用的基本类型，能描述美术应用经典作品的艺术特征</w:t>
            </w:r>
            <w:r>
              <w:rPr>
                <w:rFonts w:ascii="宋体" w:eastAsia="宋体" w:hAnsi="宋体" w:cs="宋体" w:hint="eastAsia"/>
                <w:color w:val="auto"/>
                <w:kern w:val="2"/>
                <w:sz w:val="24"/>
                <w:szCs w:val="24"/>
              </w:rPr>
              <w:t>；</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2.</w:t>
            </w:r>
            <w:r>
              <w:rPr>
                <w:rFonts w:ascii="宋体" w:eastAsia="宋体" w:hAnsi="宋体" w:cs="宋体"/>
                <w:color w:val="auto"/>
                <w:kern w:val="2"/>
                <w:sz w:val="24"/>
                <w:szCs w:val="24"/>
              </w:rPr>
              <w:t>理解美术应用与文化的关联，能归纳美术应用作品的文化内涵</w:t>
            </w:r>
            <w:r>
              <w:rPr>
                <w:rFonts w:ascii="宋体" w:eastAsia="宋体" w:hAnsi="宋体" w:cs="宋体" w:hint="eastAsia"/>
                <w:color w:val="auto"/>
                <w:kern w:val="2"/>
                <w:sz w:val="24"/>
                <w:szCs w:val="24"/>
              </w:rPr>
              <w:t>；</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color w:val="auto"/>
                <w:kern w:val="2"/>
                <w:sz w:val="24"/>
                <w:szCs w:val="24"/>
              </w:rPr>
              <w:t>3.</w:t>
            </w:r>
            <w:r>
              <w:rPr>
                <w:rFonts w:ascii="宋体" w:eastAsia="宋体" w:hAnsi="宋体" w:cs="宋体"/>
                <w:color w:val="auto"/>
                <w:kern w:val="2"/>
                <w:sz w:val="24"/>
                <w:szCs w:val="24"/>
              </w:rPr>
              <w:t>理解美术应用的发展特点，能用文字或图表列出不同时期、不同区域、不同类型的美术应用</w:t>
            </w:r>
          </w:p>
        </w:tc>
        <w:tc>
          <w:tcPr>
            <w:tcW w:w="851" w:type="dxa"/>
            <w:vMerge w:val="restart"/>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4</w:t>
            </w:r>
          </w:p>
        </w:tc>
      </w:tr>
      <w:tr w:rsidR="004D27AE">
        <w:trPr>
          <w:trHeight w:val="1058"/>
          <w:jc w:val="center"/>
        </w:trPr>
        <w:tc>
          <w:tcPr>
            <w:tcW w:w="1134" w:type="dxa"/>
            <w:vMerge/>
            <w:textDirection w:val="tbLrV"/>
            <w:vAlign w:val="center"/>
          </w:tcPr>
          <w:p w:rsidR="004D27AE" w:rsidRDefault="004D27AE">
            <w:pPr>
              <w:widowControl w:val="0"/>
              <w:topLinePunct/>
              <w:spacing w:line="0" w:lineRule="atLeast"/>
              <w:jc w:val="center"/>
              <w:rPr>
                <w:rFonts w:ascii="宋体" w:eastAsia="宋体" w:hAnsi="宋体" w:cs="宋体"/>
                <w:color w:val="auto"/>
                <w:kern w:val="2"/>
                <w:sz w:val="24"/>
                <w:szCs w:val="24"/>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美术应用的美学原理</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了解美术应用的生活内涵，能说出传统美术应用作品中的生活元素；</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了解美术应用的文化内涵，能说出美术应用作品中的审美取向和文化背景；</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理解美术应用的技术内涵，能用文字或图表列出影响美术应用发展的技术因素；</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4.</w:t>
            </w:r>
            <w:r>
              <w:rPr>
                <w:rFonts w:ascii="宋体" w:eastAsia="宋体" w:hAnsi="宋体" w:cs="宋体" w:hint="eastAsia"/>
                <w:color w:val="auto"/>
                <w:kern w:val="2"/>
                <w:sz w:val="24"/>
                <w:szCs w:val="24"/>
              </w:rPr>
              <w:t>理解美术应用的文化取向和市场价值，能说出美术运用中的艺术价值和审美价值</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r w:rsidR="004D27AE">
        <w:trPr>
          <w:trHeight w:val="1058"/>
          <w:jc w:val="center"/>
        </w:trPr>
        <w:tc>
          <w:tcPr>
            <w:tcW w:w="1134" w:type="dxa"/>
            <w:vMerge w:val="restart"/>
            <w:vAlign w:val="center"/>
          </w:tcPr>
          <w:p w:rsidR="004D27AE" w:rsidRDefault="00D11EF2">
            <w:pPr>
              <w:widowControl w:val="0"/>
              <w:topLinePunct/>
              <w:spacing w:line="0" w:lineRule="atLeast"/>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中西方绘画</w:t>
            </w: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中西方绘画差异</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了解中西方绘画的特点差异，能说出中西方绘画的绘画原理及各自的艺术特色；</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理解中西方文化差异所导致的中西方绘画原理和技法的差异</w:t>
            </w:r>
          </w:p>
        </w:tc>
        <w:tc>
          <w:tcPr>
            <w:tcW w:w="851"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kern w:val="2"/>
                <w:sz w:val="24"/>
                <w:szCs w:val="24"/>
              </w:rPr>
              <w:t>12</w:t>
            </w:r>
          </w:p>
        </w:tc>
      </w:tr>
      <w:tr w:rsidR="004D27AE">
        <w:trPr>
          <w:trHeight w:val="274"/>
          <w:jc w:val="center"/>
        </w:trPr>
        <w:tc>
          <w:tcPr>
            <w:tcW w:w="1134" w:type="dxa"/>
            <w:vMerge/>
            <w:textDirection w:val="tbLrV"/>
            <w:vAlign w:val="center"/>
          </w:tcPr>
          <w:p w:rsidR="004D27AE" w:rsidRDefault="004D27AE">
            <w:pPr>
              <w:widowControl w:val="0"/>
              <w:topLinePunct/>
              <w:spacing w:line="0" w:lineRule="atLeast"/>
              <w:contextualSpacing/>
              <w:jc w:val="center"/>
              <w:rPr>
                <w:rFonts w:ascii="宋体" w:eastAsia="宋体" w:hAnsi="宋体" w:cs="宋体"/>
                <w:sz w:val="24"/>
                <w:szCs w:val="24"/>
                <w:lang w:val="zh-CN"/>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中国绘画艺术</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了解中国绘画的不同画种，能说出中国画不同画种的绘画特点；</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了解中国绘画的历史发展脉络，能列举出我国各个时期经典的绘画作品；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了解不同题材的中国画，能读懂不同时期的中国画；</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4.</w:t>
            </w:r>
            <w:r>
              <w:rPr>
                <w:rFonts w:ascii="宋体" w:eastAsia="宋体" w:hAnsi="宋体" w:cs="宋体" w:hint="eastAsia"/>
                <w:color w:val="auto"/>
                <w:kern w:val="2"/>
                <w:sz w:val="24"/>
                <w:szCs w:val="24"/>
              </w:rPr>
              <w:t>理解中国画的透视原理，掌握中国画散点透视的绘画方法；</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5.</w:t>
            </w:r>
            <w:r>
              <w:rPr>
                <w:rFonts w:ascii="宋体" w:eastAsia="宋体" w:hAnsi="宋体" w:cs="宋体" w:hint="eastAsia"/>
                <w:color w:val="auto"/>
                <w:kern w:val="2"/>
                <w:sz w:val="24"/>
                <w:szCs w:val="24"/>
              </w:rPr>
              <w:t>理解中国绘画中的中国文化，能读懂中国画中所呈现的书法、篆刻艺术，并能理解诗</w:t>
            </w:r>
            <w:r>
              <w:rPr>
                <w:rFonts w:ascii="宋体" w:eastAsia="宋体" w:hAnsi="宋体" w:cs="宋体" w:hint="eastAsia"/>
                <w:color w:val="auto"/>
                <w:kern w:val="2"/>
                <w:sz w:val="24"/>
                <w:szCs w:val="24"/>
              </w:rPr>
              <w:lastRenderedPageBreak/>
              <w:t>文、书画在中国画中所表现的文化内涵</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r w:rsidR="004D27AE">
        <w:trPr>
          <w:trHeight w:val="1058"/>
          <w:jc w:val="center"/>
        </w:trPr>
        <w:tc>
          <w:tcPr>
            <w:tcW w:w="1134" w:type="dxa"/>
            <w:vMerge/>
            <w:textDirection w:val="tbLrV"/>
            <w:vAlign w:val="center"/>
          </w:tcPr>
          <w:p w:rsidR="004D27AE" w:rsidRDefault="004D27AE">
            <w:pPr>
              <w:widowControl w:val="0"/>
              <w:topLinePunct/>
              <w:spacing w:line="0" w:lineRule="atLeast"/>
              <w:contextualSpacing/>
              <w:jc w:val="center"/>
              <w:rPr>
                <w:rFonts w:ascii="宋体" w:eastAsia="宋体" w:hAnsi="宋体" w:cs="宋体"/>
                <w:sz w:val="24"/>
                <w:szCs w:val="24"/>
                <w:lang w:val="zh-CN"/>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西方绘画艺术</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了解欧洲史前和远古绘画特点，能说出史前和远古绘画的表现形式；</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了解中世纪绘画与文艺复兴时期绘画的差别，理解欧洲文艺复兴的绘画风格，能说出欧洲文艺三杰的艺术成就和代表作；</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w:t>
            </w:r>
            <w:r>
              <w:rPr>
                <w:rFonts w:ascii="宋体" w:eastAsia="宋体" w:hAnsi="宋体" w:cs="宋体" w:hint="eastAsia"/>
                <w:color w:val="auto"/>
                <w:kern w:val="2"/>
                <w:sz w:val="24"/>
                <w:szCs w:val="24"/>
              </w:rPr>
              <w:t>17</w:t>
            </w:r>
            <w:r>
              <w:rPr>
                <w:rFonts w:ascii="宋体" w:eastAsia="宋体" w:hAnsi="宋体" w:cs="宋体" w:hint="eastAsia"/>
                <w:color w:val="auto"/>
                <w:kern w:val="2"/>
                <w:sz w:val="24"/>
                <w:szCs w:val="24"/>
              </w:rPr>
              <w:t>世纪以来欧美多元创新的绘画流派及发展趋势，能说出不同流派的绘画风格和代表作品；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4.</w:t>
            </w:r>
            <w:r>
              <w:rPr>
                <w:rFonts w:ascii="宋体" w:eastAsia="宋体" w:hAnsi="宋体" w:cs="宋体" w:hint="eastAsia"/>
                <w:color w:val="auto"/>
                <w:kern w:val="2"/>
                <w:sz w:val="24"/>
                <w:szCs w:val="24"/>
              </w:rPr>
              <w:t>了解东西方绘画的差别，能归纳中西方绘画在构图、透视原理、表现对象、表现方法等方面的差异</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r w:rsidR="004D27AE">
        <w:trPr>
          <w:trHeight w:val="1058"/>
          <w:jc w:val="center"/>
        </w:trPr>
        <w:tc>
          <w:tcPr>
            <w:tcW w:w="1134"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sz w:val="24"/>
                <w:szCs w:val="24"/>
                <w:lang w:val="zh-CN"/>
              </w:rPr>
              <w:t>工艺美术品</w:t>
            </w: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工艺美术简史</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了解中国工艺美术的发展历程，能说出我国不同时期最典型的工艺美术作品；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了解不同历史时期具有代表性的工艺美术大师和工艺美术作品；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了解工艺美术品的时代背景、工艺美术发展与成就、经典工艺美术作品及工艺美术大师，会鉴赏优秀工艺美术作品</w:t>
            </w:r>
          </w:p>
        </w:tc>
        <w:tc>
          <w:tcPr>
            <w:tcW w:w="851"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kern w:val="2"/>
                <w:sz w:val="24"/>
                <w:szCs w:val="24"/>
              </w:rPr>
              <w:t>6</w:t>
            </w:r>
          </w:p>
        </w:tc>
      </w:tr>
      <w:tr w:rsidR="004D27AE">
        <w:trPr>
          <w:trHeight w:val="1058"/>
          <w:jc w:val="center"/>
        </w:trPr>
        <w:tc>
          <w:tcPr>
            <w:tcW w:w="1134" w:type="dxa"/>
            <w:vMerge/>
            <w:vAlign w:val="center"/>
          </w:tcPr>
          <w:p w:rsidR="004D27AE" w:rsidRDefault="004D27AE">
            <w:pPr>
              <w:widowControl w:val="0"/>
              <w:topLinePunct/>
              <w:spacing w:line="0" w:lineRule="atLeast"/>
              <w:contextualSpacing/>
              <w:jc w:val="center"/>
              <w:rPr>
                <w:rFonts w:ascii="宋体" w:eastAsia="宋体" w:hAnsi="宋体" w:cs="宋体"/>
                <w:sz w:val="24"/>
                <w:szCs w:val="24"/>
                <w:lang w:val="zh-CN"/>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现代工艺美术品</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color w:val="auto"/>
                <w:kern w:val="2"/>
                <w:sz w:val="24"/>
                <w:szCs w:val="24"/>
              </w:rPr>
              <w:t>.</w:t>
            </w:r>
            <w:r>
              <w:rPr>
                <w:rFonts w:ascii="宋体" w:eastAsia="宋体" w:hAnsi="宋体" w:cs="宋体" w:hint="eastAsia"/>
                <w:color w:val="auto"/>
                <w:kern w:val="2"/>
                <w:sz w:val="24"/>
                <w:szCs w:val="24"/>
              </w:rPr>
              <w:t>了解现代工艺美术品的发展，知晓现代</w:t>
            </w:r>
            <w:r>
              <w:rPr>
                <w:rFonts w:ascii="宋体" w:eastAsia="宋体" w:hAnsi="宋体" w:cs="宋体"/>
                <w:color w:val="auto"/>
                <w:kern w:val="2"/>
                <w:sz w:val="24"/>
                <w:szCs w:val="24"/>
              </w:rPr>
              <w:t>工艺</w:t>
            </w:r>
            <w:r>
              <w:rPr>
                <w:rFonts w:ascii="宋体" w:eastAsia="宋体" w:hAnsi="宋体" w:cs="宋体" w:hint="eastAsia"/>
                <w:color w:val="auto"/>
                <w:kern w:val="2"/>
                <w:sz w:val="24"/>
                <w:szCs w:val="24"/>
              </w:rPr>
              <w:t>美术品</w:t>
            </w:r>
            <w:r>
              <w:rPr>
                <w:rFonts w:ascii="宋体" w:eastAsia="宋体" w:hAnsi="宋体" w:cs="宋体"/>
                <w:color w:val="auto"/>
                <w:kern w:val="2"/>
                <w:sz w:val="24"/>
                <w:szCs w:val="24"/>
              </w:rPr>
              <w:t>的</w:t>
            </w:r>
            <w:r>
              <w:rPr>
                <w:rFonts w:ascii="宋体" w:eastAsia="宋体" w:hAnsi="宋体" w:cs="宋体" w:hint="eastAsia"/>
                <w:color w:val="auto"/>
                <w:kern w:val="2"/>
                <w:sz w:val="24"/>
                <w:szCs w:val="24"/>
              </w:rPr>
              <w:t>类别和制作</w:t>
            </w:r>
            <w:r>
              <w:rPr>
                <w:rFonts w:ascii="宋体" w:eastAsia="宋体" w:hAnsi="宋体" w:cs="宋体"/>
                <w:color w:val="auto"/>
                <w:kern w:val="2"/>
                <w:sz w:val="24"/>
                <w:szCs w:val="24"/>
              </w:rPr>
              <w:t>工艺</w:t>
            </w:r>
            <w:r>
              <w:rPr>
                <w:rFonts w:ascii="宋体" w:eastAsia="宋体" w:hAnsi="宋体" w:cs="宋体" w:hint="eastAsia"/>
                <w:color w:val="auto"/>
                <w:kern w:val="2"/>
                <w:sz w:val="24"/>
                <w:szCs w:val="24"/>
              </w:rPr>
              <w:t>，能用图表和文字归纳现代工艺美术品的发展特点；</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了解具有江苏特色的现代工艺美术品（</w:t>
            </w:r>
            <w:r>
              <w:rPr>
                <w:rFonts w:ascii="宋体" w:eastAsia="宋体" w:hAnsi="宋体" w:cs="仿宋" w:hint="eastAsia"/>
                <w:sz w:val="24"/>
                <w:szCs w:val="24"/>
                <w:lang w:val="zh-CN"/>
              </w:rPr>
              <w:t>宜兴紫砂陶瓷、东</w:t>
            </w:r>
            <w:r>
              <w:rPr>
                <w:rFonts w:ascii="宋体" w:eastAsia="宋体" w:hAnsi="宋体" w:cs="仿宋" w:hint="eastAsia"/>
                <w:sz w:val="24"/>
                <w:szCs w:val="24"/>
              </w:rPr>
              <w:t>海</w:t>
            </w:r>
            <w:r>
              <w:rPr>
                <w:rFonts w:ascii="宋体" w:eastAsia="宋体" w:hAnsi="宋体" w:cs="仿宋" w:hint="eastAsia"/>
                <w:sz w:val="24"/>
                <w:szCs w:val="24"/>
                <w:lang w:val="zh-CN"/>
              </w:rPr>
              <w:t>水晶雕刻、无锡泥人、扬州漆器等</w:t>
            </w:r>
            <w:r>
              <w:rPr>
                <w:rFonts w:ascii="宋体" w:eastAsia="宋体" w:hAnsi="宋体" w:cs="宋体" w:hint="eastAsia"/>
                <w:color w:val="auto"/>
                <w:kern w:val="2"/>
                <w:sz w:val="24"/>
                <w:szCs w:val="24"/>
              </w:rPr>
              <w:t>），能说出具江苏地域特色的现代工艺美术品的特点</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r w:rsidR="004D27AE">
        <w:trPr>
          <w:trHeight w:val="1058"/>
          <w:jc w:val="center"/>
        </w:trPr>
        <w:tc>
          <w:tcPr>
            <w:tcW w:w="1134"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sz w:val="24"/>
                <w:szCs w:val="24"/>
                <w:lang w:val="zh-CN"/>
              </w:rPr>
              <w:t>现代艺术设计</w:t>
            </w:r>
          </w:p>
        </w:tc>
        <w:tc>
          <w:tcPr>
            <w:tcW w:w="1560" w:type="dxa"/>
            <w:vAlign w:val="center"/>
          </w:tcPr>
          <w:p w:rsidR="004D27AE" w:rsidRDefault="00D11EF2">
            <w:pPr>
              <w:widowControl w:val="0"/>
              <w:topLinePunct/>
              <w:spacing w:line="0" w:lineRule="atLeast"/>
              <w:contextualSpacing/>
              <w:jc w:val="center"/>
              <w:rPr>
                <w:rFonts w:ascii="宋体" w:hAnsi="宋体" w:cs="宋体"/>
                <w:color w:val="auto"/>
                <w:kern w:val="2"/>
                <w:sz w:val="24"/>
                <w:szCs w:val="24"/>
              </w:rPr>
            </w:pPr>
            <w:r>
              <w:rPr>
                <w:rFonts w:ascii="宋体" w:eastAsia="宋体" w:hAnsi="宋体" w:cs="宋体" w:hint="eastAsia"/>
                <w:color w:val="auto"/>
                <w:kern w:val="2"/>
                <w:sz w:val="24"/>
                <w:szCs w:val="24"/>
              </w:rPr>
              <w:t>现代艺术设计概况</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了解现代艺术设计的种类，能说出现代艺术设计的经典作品；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理解现代艺术设计的表现手法，能归纳现代艺术设计的设计风格和美学原理；</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了解现代艺术设计的应用，能说出现代艺术设计在建筑、服装、工业产品、日常生活用品等领域的运用</w:t>
            </w:r>
          </w:p>
        </w:tc>
        <w:tc>
          <w:tcPr>
            <w:tcW w:w="851" w:type="dxa"/>
            <w:vMerge w:val="restart"/>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6</w:t>
            </w:r>
          </w:p>
        </w:tc>
      </w:tr>
      <w:tr w:rsidR="004D27AE">
        <w:trPr>
          <w:trHeight w:val="328"/>
          <w:jc w:val="center"/>
        </w:trPr>
        <w:tc>
          <w:tcPr>
            <w:tcW w:w="1134" w:type="dxa"/>
            <w:vMerge/>
            <w:vAlign w:val="center"/>
          </w:tcPr>
          <w:p w:rsidR="004D27AE" w:rsidRDefault="004D27AE">
            <w:pPr>
              <w:widowControl w:val="0"/>
              <w:topLinePunct/>
              <w:spacing w:line="0" w:lineRule="atLeast"/>
              <w:contextualSpacing/>
              <w:jc w:val="center"/>
              <w:rPr>
                <w:rFonts w:ascii="宋体" w:eastAsia="宋体" w:hAnsi="宋体" w:cs="宋体"/>
                <w:sz w:val="24"/>
                <w:szCs w:val="24"/>
                <w:lang w:val="zh-CN"/>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现代艺术设计作品</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了解现代艺术设计的设计流派，能说出不同设计流派的经典作品；</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理解不同现代艺术设计流派的设计思想，能说出不同艺术设计流派的设计风格和设计思想；</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了解现代艺术设计的发展趋势，能结合专业</w:t>
            </w:r>
            <w:r>
              <w:rPr>
                <w:rFonts w:ascii="宋体" w:eastAsia="宋体" w:hAnsi="宋体" w:cs="宋体" w:hint="eastAsia"/>
                <w:color w:val="auto"/>
                <w:kern w:val="2"/>
                <w:sz w:val="24"/>
                <w:szCs w:val="24"/>
              </w:rPr>
              <w:lastRenderedPageBreak/>
              <w:t>了解现代设计在专业设计中的运用</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r w:rsidR="004D27AE">
        <w:trPr>
          <w:trHeight w:val="1058"/>
          <w:jc w:val="center"/>
        </w:trPr>
        <w:tc>
          <w:tcPr>
            <w:tcW w:w="1134"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lang w:val="zh-CN"/>
              </w:rPr>
            </w:pPr>
            <w:r>
              <w:rPr>
                <w:rFonts w:ascii="宋体" w:eastAsia="宋体" w:hAnsi="宋体" w:cs="宋体" w:hint="eastAsia"/>
                <w:sz w:val="24"/>
                <w:szCs w:val="24"/>
                <w:lang w:val="zh-CN"/>
              </w:rPr>
              <w:lastRenderedPageBreak/>
              <w:t>文化传承与创新保护</w:t>
            </w:r>
          </w:p>
        </w:tc>
        <w:tc>
          <w:tcPr>
            <w:tcW w:w="1560" w:type="dxa"/>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kern w:val="2"/>
                <w:sz w:val="24"/>
                <w:szCs w:val="24"/>
              </w:rPr>
              <w:t>非物质文化遗产传承</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hint="eastAsia"/>
                <w:color w:val="auto"/>
                <w:kern w:val="2"/>
                <w:sz w:val="24"/>
                <w:szCs w:val="24"/>
              </w:rPr>
              <w:t>了解我国博大精深的非物质文化遗产，能说出我国最具代表性的非物质文化遗产；</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hint="eastAsia"/>
                <w:color w:val="auto"/>
                <w:kern w:val="2"/>
                <w:sz w:val="24"/>
                <w:szCs w:val="24"/>
              </w:rPr>
              <w:t>了解江苏丰富的非物质文化遗产，能说出江苏各地具有地域特点的非遗技艺；</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了解我国传统非遗技艺的现代传承和发展，能说出传统技艺在现代生活中的应用</w:t>
            </w:r>
          </w:p>
        </w:tc>
        <w:tc>
          <w:tcPr>
            <w:tcW w:w="851" w:type="dxa"/>
            <w:vMerge w:val="restart"/>
            <w:vAlign w:val="center"/>
          </w:tcPr>
          <w:p w:rsidR="004D27AE" w:rsidRDefault="00D11EF2">
            <w:pPr>
              <w:widowControl w:val="0"/>
              <w:topLinePunct/>
              <w:spacing w:line="0" w:lineRule="atLeast"/>
              <w:contextualSpacing/>
              <w:jc w:val="center"/>
              <w:rPr>
                <w:rFonts w:ascii="宋体" w:eastAsia="宋体" w:hAnsi="宋体" w:cs="宋体"/>
                <w:sz w:val="24"/>
                <w:szCs w:val="24"/>
              </w:rPr>
            </w:pPr>
            <w:r>
              <w:rPr>
                <w:rFonts w:ascii="宋体" w:eastAsia="宋体" w:hAnsi="宋体" w:cs="宋体" w:hint="eastAsia"/>
                <w:color w:val="auto"/>
                <w:kern w:val="2"/>
                <w:sz w:val="24"/>
                <w:szCs w:val="24"/>
              </w:rPr>
              <w:t>8</w:t>
            </w:r>
          </w:p>
        </w:tc>
      </w:tr>
      <w:tr w:rsidR="004D27AE">
        <w:trPr>
          <w:trHeight w:val="1058"/>
          <w:jc w:val="center"/>
        </w:trPr>
        <w:tc>
          <w:tcPr>
            <w:tcW w:w="1134" w:type="dxa"/>
            <w:vMerge/>
            <w:textDirection w:val="tbLrV"/>
            <w:vAlign w:val="center"/>
          </w:tcPr>
          <w:p w:rsidR="004D27AE" w:rsidRDefault="004D27AE">
            <w:pPr>
              <w:widowControl w:val="0"/>
              <w:topLinePunct/>
              <w:spacing w:line="0" w:lineRule="atLeast"/>
              <w:contextualSpacing/>
              <w:rPr>
                <w:rFonts w:ascii="宋体" w:eastAsia="宋体" w:hAnsi="宋体" w:cs="宋体"/>
                <w:sz w:val="24"/>
                <w:szCs w:val="24"/>
                <w:lang w:val="zh-CN"/>
              </w:rPr>
            </w:pPr>
          </w:p>
        </w:tc>
        <w:tc>
          <w:tcPr>
            <w:tcW w:w="1560" w:type="dxa"/>
            <w:vAlign w:val="center"/>
          </w:tcPr>
          <w:p w:rsidR="004D27AE" w:rsidRDefault="00D11EF2">
            <w:pPr>
              <w:widowControl w:val="0"/>
              <w:topLinePunct/>
              <w:spacing w:line="0" w:lineRule="atLeast"/>
              <w:contextualSpacing/>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非物质文化遗产保护</w:t>
            </w:r>
          </w:p>
        </w:tc>
        <w:tc>
          <w:tcPr>
            <w:tcW w:w="5244" w:type="dxa"/>
            <w:vAlign w:val="center"/>
          </w:tcPr>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1</w:t>
            </w:r>
            <w:r>
              <w:rPr>
                <w:rFonts w:ascii="宋体" w:eastAsia="宋体" w:hAnsi="宋体" w:cs="宋体"/>
                <w:color w:val="auto"/>
                <w:kern w:val="2"/>
                <w:sz w:val="24"/>
                <w:szCs w:val="24"/>
              </w:rPr>
              <w:t>.</w:t>
            </w:r>
            <w:r>
              <w:rPr>
                <w:rFonts w:ascii="宋体" w:eastAsia="宋体" w:hAnsi="宋体" w:cs="宋体" w:hint="eastAsia"/>
                <w:color w:val="auto"/>
                <w:kern w:val="2"/>
                <w:sz w:val="24"/>
                <w:szCs w:val="24"/>
              </w:rPr>
              <w:t>了解我国非物质文化遗产的保护政策，知晓参与非遗保护的途径和方法；</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2</w:t>
            </w:r>
            <w:r>
              <w:rPr>
                <w:rFonts w:ascii="宋体" w:eastAsia="宋体" w:hAnsi="宋体" w:cs="宋体"/>
                <w:color w:val="auto"/>
                <w:kern w:val="2"/>
                <w:sz w:val="24"/>
                <w:szCs w:val="24"/>
              </w:rPr>
              <w:t>.</w:t>
            </w:r>
            <w:r>
              <w:rPr>
                <w:rFonts w:ascii="宋体" w:eastAsia="宋体" w:hAnsi="宋体" w:cs="宋体" w:hint="eastAsia"/>
                <w:color w:val="auto"/>
                <w:kern w:val="2"/>
                <w:sz w:val="24"/>
                <w:szCs w:val="24"/>
              </w:rPr>
              <w:t>了解非遗技艺的传承人制度，知晓当地代表性非遗技艺大师以及他们的艺术成就；</w:t>
            </w:r>
          </w:p>
          <w:p w:rsidR="004D27AE" w:rsidRDefault="00D11EF2">
            <w:pPr>
              <w:widowControl w:val="0"/>
              <w:topLinePunct/>
              <w:spacing w:line="0" w:lineRule="atLeast"/>
              <w:ind w:left="240" w:hangingChars="100" w:hanging="240"/>
              <w:contextualSpacing/>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3.</w:t>
            </w:r>
            <w:r>
              <w:rPr>
                <w:rFonts w:ascii="宋体" w:eastAsia="宋体" w:hAnsi="宋体" w:cs="宋体" w:hint="eastAsia"/>
                <w:color w:val="auto"/>
                <w:kern w:val="2"/>
                <w:sz w:val="24"/>
                <w:szCs w:val="24"/>
              </w:rPr>
              <w:t>掌握非物质文化遗产的保护政策，能对家乡非物质文化遗产进行调研，并能结合专业开展文化传承与创新保护</w:t>
            </w:r>
          </w:p>
        </w:tc>
        <w:tc>
          <w:tcPr>
            <w:tcW w:w="851" w:type="dxa"/>
            <w:vMerge/>
            <w:vAlign w:val="center"/>
          </w:tcPr>
          <w:p w:rsidR="004D27AE" w:rsidRDefault="004D27AE">
            <w:pPr>
              <w:widowControl w:val="0"/>
              <w:topLinePunct/>
              <w:spacing w:line="0" w:lineRule="atLeast"/>
              <w:contextualSpacing/>
              <w:jc w:val="center"/>
              <w:rPr>
                <w:rFonts w:ascii="宋体" w:eastAsia="宋体" w:hAnsi="宋体" w:cs="宋体"/>
                <w:sz w:val="24"/>
                <w:szCs w:val="24"/>
              </w:rPr>
            </w:pPr>
          </w:p>
        </w:tc>
      </w:tr>
    </w:tbl>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六、实施建议</w:t>
      </w:r>
    </w:p>
    <w:p w:rsidR="004D27AE" w:rsidRDefault="00D11EF2">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一</w:t>
      </w:r>
      <w:r>
        <w:rPr>
          <w:rFonts w:ascii="宋体" w:eastAsia="宋体" w:hAnsi="宋体" w:cs="宋体"/>
          <w:b/>
          <w:color w:val="auto"/>
          <w:kern w:val="2"/>
          <w:sz w:val="24"/>
        </w:rPr>
        <w:t>）</w:t>
      </w:r>
      <w:r>
        <w:rPr>
          <w:rFonts w:ascii="宋体" w:eastAsia="宋体" w:hAnsi="宋体" w:cs="宋体" w:hint="eastAsia"/>
          <w:b/>
          <w:color w:val="auto"/>
          <w:kern w:val="2"/>
          <w:sz w:val="24"/>
        </w:rPr>
        <w:t>教学建议</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深入挖掘本课程“文化自信</w:t>
      </w:r>
      <w:r>
        <w:rPr>
          <w:rFonts w:ascii="宋体" w:eastAsia="宋体" w:hAnsi="宋体" w:cs="宋体"/>
          <w:sz w:val="24"/>
        </w:rPr>
        <w:t>”</w:t>
      </w:r>
      <w:r>
        <w:rPr>
          <w:rFonts w:ascii="宋体" w:eastAsia="宋体" w:hAnsi="宋体" w:cs="宋体" w:hint="eastAsia"/>
          <w:sz w:val="24"/>
        </w:rPr>
        <w:t>“精益求精”“传承与创新”等课程思政元素，积极开展课程思政教育活动，将立德树人贯穿于课程实施全过程，充分发挥美术设计认知课程的育人功能。</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确立以学习者为中心的教学理念，发挥教师的主导作用，突出学生的主体地位，增强学生的自主学习能力。通过选用典型美术设计案例、美术应用案例等，组织学生开展小组合作探究学习，提高学生分析问题、解决问题能力和批判性思维能力。</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根据教学内容的特点选择不同的教学方法，积极推行案例教学、情景教学、行动导向教学。鼓励工艺美术大师、现代设计大师、非遗技艺优秀传承人参与教学，可采用组织参观、调研、专家讲座等方式。</w:t>
      </w:r>
    </w:p>
    <w:p w:rsidR="004D27AE" w:rsidRDefault="00D11EF2">
      <w:pPr>
        <w:pStyle w:val="Heading2"/>
        <w:spacing w:before="0" w:beforeAutospacing="0" w:after="0" w:afterAutospacing="0" w:line="240" w:lineRule="auto"/>
        <w:ind w:firstLineChars="200" w:firstLine="480"/>
        <w:rPr>
          <w:rFonts w:eastAsia="宋体" w:cs="宋体"/>
          <w:b w:val="0"/>
          <w:sz w:val="24"/>
          <w:szCs w:val="22"/>
        </w:rPr>
      </w:pPr>
      <w:r>
        <w:rPr>
          <w:rFonts w:eastAsia="宋体" w:cs="宋体" w:hint="eastAsia"/>
          <w:b w:val="0"/>
          <w:sz w:val="24"/>
          <w:szCs w:val="22"/>
        </w:rPr>
        <w:t>4.</w:t>
      </w:r>
      <w:r>
        <w:rPr>
          <w:rFonts w:eastAsia="宋体" w:cs="宋体" w:hint="eastAsia"/>
          <w:b w:val="0"/>
          <w:sz w:val="24"/>
          <w:szCs w:val="22"/>
        </w:rPr>
        <w:t>课程教学应充分利用多媒体教学平台，多采用图片、音频、视频等数字资源及现代教学技术，注重资源辅助教学，如提供与课程有关的文献资料、教学大纲、电子教案、教学课件、习题、教学视频等，为学生自主学习提供环境条件。</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w:t>
      </w:r>
      <w:r>
        <w:rPr>
          <w:rFonts w:ascii="宋体" w:eastAsia="宋体" w:hAnsi="宋体" w:cs="宋体" w:hint="eastAsia"/>
          <w:sz w:val="24"/>
        </w:rPr>
        <w:t>将职业岗位要求融入教学。加强对学生的安全教育，严格执行工作规范和安全操作规程，注重诚信、安全生产和绿色环保理念的培养，使学生形成良好的职业品质和职业素养。</w:t>
      </w:r>
    </w:p>
    <w:p w:rsidR="004D27AE" w:rsidRDefault="00D11EF2">
      <w:pPr>
        <w:widowControl w:val="0"/>
        <w:topLinePunct/>
        <w:spacing w:line="240" w:lineRule="auto"/>
        <w:ind w:firstLineChars="200" w:firstLine="482"/>
        <w:jc w:val="both"/>
        <w:rPr>
          <w:rFonts w:ascii="宋体" w:eastAsia="宋体" w:hAnsi="宋体" w:cs="宋体"/>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二</w:t>
      </w:r>
      <w:r>
        <w:rPr>
          <w:rFonts w:ascii="宋体" w:eastAsia="宋体" w:hAnsi="宋体" w:cs="宋体"/>
          <w:b/>
          <w:color w:val="auto"/>
          <w:kern w:val="2"/>
          <w:sz w:val="24"/>
        </w:rPr>
        <w:t>）</w:t>
      </w:r>
      <w:r>
        <w:rPr>
          <w:rFonts w:ascii="宋体" w:eastAsia="宋体" w:hAnsi="宋体" w:cs="宋体" w:hint="eastAsia"/>
          <w:b/>
          <w:color w:val="auto"/>
          <w:kern w:val="2"/>
          <w:sz w:val="24"/>
        </w:rPr>
        <w:t>评价建议</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树立正确的教学质量观，突出评价的教育功能和导向功能，强化以育人为目标的考核评价。注重过程评价与结果评价并重、定性评价与定量</w:t>
      </w:r>
      <w:r>
        <w:rPr>
          <w:rFonts w:ascii="宋体" w:eastAsia="宋体" w:hAnsi="宋体" w:cs="宋体" w:hint="eastAsia"/>
          <w:sz w:val="24"/>
        </w:rPr>
        <w:t>评价相结合，充分发挥评价的激励作用。</w:t>
      </w:r>
      <w:r>
        <w:rPr>
          <w:rFonts w:ascii="宋体" w:eastAsia="宋体" w:hAnsi="宋体" w:cs="宋体" w:hint="eastAsia"/>
          <w:sz w:val="24"/>
        </w:rPr>
        <w:t xml:space="preserve">   </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采用过程性评价与结果性评价、定性评价与定量评价、教师评价与学生互评相结合的评价方式，科学组织课程评价。学生的课程最终成绩由作业、课堂表现、</w:t>
      </w:r>
      <w:r>
        <w:rPr>
          <w:rFonts w:ascii="宋体" w:eastAsia="宋体" w:hAnsi="宋体" w:cs="宋体" w:hint="eastAsia"/>
          <w:sz w:val="24"/>
        </w:rPr>
        <w:lastRenderedPageBreak/>
        <w:t>期中考试、期末考试、综合实践成绩按一定比例综合评定。教学评价还应与省中职美术类专业学业水平考试的目标与要求，以及相关的职业岗位技能鉴定相结合。</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合理选择审美感知、文化理解、创意实践和综合认知等评价方式。设计美术设计认知的主客观题，根据主客观题的掌握情况全面了解学生对美术设计的认知情况。</w:t>
      </w:r>
    </w:p>
    <w:p w:rsidR="004D27AE" w:rsidRDefault="00D11EF2">
      <w:pPr>
        <w:widowControl w:val="0"/>
        <w:topLinePunct/>
        <w:spacing w:line="240" w:lineRule="auto"/>
        <w:ind w:firstLineChars="200" w:firstLine="480"/>
        <w:jc w:val="both"/>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将评价结果及时、客观向学生反馈，指出被评价者需要改进的方面，商讨改进的途径和方法，调动学生的学习积极性。</w:t>
      </w:r>
    </w:p>
    <w:p w:rsidR="004D27AE" w:rsidRDefault="00D11EF2">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三</w:t>
      </w:r>
      <w:r>
        <w:rPr>
          <w:rFonts w:ascii="宋体" w:eastAsia="宋体" w:hAnsi="宋体" w:cs="宋体"/>
          <w:b/>
          <w:color w:val="auto"/>
          <w:kern w:val="2"/>
          <w:sz w:val="24"/>
        </w:rPr>
        <w:t>）</w:t>
      </w:r>
      <w:r>
        <w:rPr>
          <w:rFonts w:ascii="宋体" w:eastAsia="宋体" w:hAnsi="宋体" w:cs="宋体" w:hint="eastAsia"/>
          <w:b/>
          <w:color w:val="auto"/>
          <w:kern w:val="2"/>
          <w:sz w:val="24"/>
        </w:rPr>
        <w:t>教材编写和选用建议</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1.</w:t>
      </w:r>
      <w:r>
        <w:rPr>
          <w:rFonts w:ascii="宋体" w:eastAsia="宋体" w:hAnsi="宋体" w:cs="宋体" w:hint="eastAsia"/>
          <w:color w:val="auto"/>
          <w:kern w:val="2"/>
          <w:sz w:val="24"/>
        </w:rPr>
        <w:t>教材的编写和选用必须依据本标准。</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2.</w:t>
      </w:r>
      <w:r>
        <w:rPr>
          <w:rFonts w:ascii="宋体" w:eastAsia="宋体" w:hAnsi="宋体" w:cs="宋体" w:hint="eastAsia"/>
          <w:color w:val="auto"/>
          <w:kern w:val="2"/>
          <w:sz w:val="24"/>
        </w:rPr>
        <w:t>教材编写要和《艺术》课程区分开来，围绕美术设计相关知识和内容，梳理呈现中外优秀绘画作品、工艺美术作品、艺术设计经典作品所处时代和艺术价值，尤其要体现江苏作为文化创意大省所特有的非遗文化。在教材编写上还应引入美术应用的新理念、新技术、新设备和新工艺。在难度上要有一定的梯度，既要面向全体学生，也要考虑学生发展的差异性，满足不同学生需求。</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w:t>
      </w:r>
      <w:r>
        <w:rPr>
          <w:rFonts w:ascii="宋体" w:eastAsia="宋体" w:hAnsi="宋体" w:cs="宋体" w:hint="eastAsia"/>
          <w:color w:val="auto"/>
          <w:kern w:val="2"/>
          <w:sz w:val="24"/>
        </w:rPr>
        <w:t>根据美术设计认知课程的特点，教材要采用高清彩印印刷，图文并茂，增强学生阅读教材的兴趣，教材同时应配备有配套教学资源，为学生提供学习拓展的空间。</w:t>
      </w:r>
    </w:p>
    <w:p w:rsidR="004D27AE" w:rsidRDefault="00D11EF2">
      <w:pPr>
        <w:widowControl w:val="0"/>
        <w:topLinePunct/>
        <w:spacing w:line="240" w:lineRule="auto"/>
        <w:ind w:firstLineChars="200" w:firstLine="482"/>
        <w:jc w:val="both"/>
        <w:rPr>
          <w:rFonts w:ascii="宋体" w:eastAsia="宋体" w:hAnsi="宋体" w:cs="宋体"/>
          <w:b/>
          <w:color w:val="auto"/>
          <w:kern w:val="2"/>
          <w:sz w:val="24"/>
        </w:rPr>
      </w:pPr>
      <w:r>
        <w:rPr>
          <w:rFonts w:ascii="宋体" w:eastAsia="宋体" w:hAnsi="宋体" w:cs="宋体"/>
          <w:b/>
          <w:color w:val="auto"/>
          <w:kern w:val="2"/>
          <w:sz w:val="24"/>
        </w:rPr>
        <w:t>（</w:t>
      </w:r>
      <w:r>
        <w:rPr>
          <w:rFonts w:ascii="宋体" w:eastAsia="宋体" w:hAnsi="宋体" w:cs="宋体" w:hint="eastAsia"/>
          <w:b/>
          <w:color w:val="auto"/>
          <w:kern w:val="2"/>
          <w:sz w:val="24"/>
        </w:rPr>
        <w:t>四</w:t>
      </w:r>
      <w:r>
        <w:rPr>
          <w:rFonts w:ascii="宋体" w:eastAsia="宋体" w:hAnsi="宋体" w:cs="宋体"/>
          <w:b/>
          <w:color w:val="auto"/>
          <w:kern w:val="2"/>
          <w:sz w:val="24"/>
        </w:rPr>
        <w:t>）</w:t>
      </w:r>
      <w:r>
        <w:rPr>
          <w:rFonts w:ascii="宋体" w:eastAsia="宋体" w:hAnsi="宋体" w:cs="宋体" w:hint="eastAsia"/>
          <w:b/>
          <w:color w:val="auto"/>
          <w:kern w:val="2"/>
          <w:sz w:val="24"/>
        </w:rPr>
        <w:t>课程资源开发与利用建议</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1.</w:t>
      </w:r>
      <w:r>
        <w:rPr>
          <w:rFonts w:ascii="宋体" w:eastAsia="宋体" w:hAnsi="宋体" w:cs="宋体" w:hint="eastAsia"/>
          <w:color w:val="auto"/>
          <w:kern w:val="2"/>
          <w:sz w:val="24"/>
        </w:rPr>
        <w:t>学校专业教师和课程专家共同开发与建设《美术设计认知》教学资源共享平台，合理使用已开放的校外美术类课程教学资源库</w:t>
      </w:r>
      <w:r>
        <w:rPr>
          <w:rFonts w:ascii="宋体" w:eastAsia="宋体" w:hAnsi="宋体" w:cs="宋体"/>
          <w:color w:val="auto"/>
          <w:kern w:val="2"/>
          <w:sz w:val="24"/>
        </w:rPr>
        <w:t>，</w:t>
      </w:r>
      <w:r>
        <w:rPr>
          <w:rFonts w:ascii="宋体" w:eastAsia="宋体" w:hAnsi="宋体" w:cs="宋体" w:hint="eastAsia"/>
          <w:color w:val="auto"/>
          <w:kern w:val="2"/>
          <w:sz w:val="24"/>
        </w:rPr>
        <w:t>为指导学生课外自主学习提供帮助。</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color w:val="auto"/>
          <w:kern w:val="2"/>
          <w:sz w:val="24"/>
        </w:rPr>
        <w:t>2.</w:t>
      </w:r>
      <w:r>
        <w:rPr>
          <w:rFonts w:ascii="宋体" w:eastAsia="宋体" w:hAnsi="宋体" w:cs="宋体" w:hint="eastAsia"/>
          <w:color w:val="auto"/>
          <w:kern w:val="2"/>
          <w:sz w:val="24"/>
        </w:rPr>
        <w:t>充分借助国家、省、市级博物馆、美术类展览馆资源，建立网络美术类教学展示厅，利用仿真实训软件、多媒体教学课件或直接和各艺术博物馆网络相连进行辅助教学。</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3.</w:t>
      </w:r>
      <w:r>
        <w:rPr>
          <w:rFonts w:ascii="宋体" w:eastAsia="宋体" w:hAnsi="宋体" w:cs="宋体" w:hint="eastAsia"/>
          <w:color w:val="auto"/>
          <w:kern w:val="2"/>
          <w:sz w:val="24"/>
        </w:rPr>
        <w:t>根据课程模块和单元设计，</w:t>
      </w:r>
      <w:r>
        <w:rPr>
          <w:rFonts w:ascii="宋体" w:eastAsia="宋体" w:hAnsi="宋体" w:cs="宋体" w:hint="eastAsia"/>
          <w:color w:val="auto"/>
          <w:kern w:val="2"/>
          <w:sz w:val="24"/>
        </w:rPr>
        <w:t>联合省内美术类相关院校，共同开发网络课程、模拟仿真实训软件、多媒体课件、模拟试卷等教学资源，促进学生自主学习，提高学生学习效率，实现教学资源和成果共享。</w:t>
      </w:r>
    </w:p>
    <w:p w:rsidR="004D27AE" w:rsidRDefault="00D11EF2">
      <w:pPr>
        <w:widowControl w:val="0"/>
        <w:topLinePunct/>
        <w:adjustRightInd w:val="0"/>
        <w:spacing w:line="240" w:lineRule="auto"/>
        <w:ind w:firstLineChars="200" w:firstLine="562"/>
        <w:rPr>
          <w:rFonts w:ascii="宋体" w:eastAsia="宋体" w:hAnsi="宋体" w:cs="黑体"/>
          <w:b/>
          <w:color w:val="auto"/>
          <w:kern w:val="2"/>
          <w:sz w:val="28"/>
          <w:szCs w:val="28"/>
        </w:rPr>
      </w:pPr>
      <w:r>
        <w:rPr>
          <w:rFonts w:ascii="宋体" w:eastAsia="宋体" w:hAnsi="宋体" w:cs="黑体" w:hint="eastAsia"/>
          <w:b/>
          <w:color w:val="auto"/>
          <w:kern w:val="2"/>
          <w:sz w:val="28"/>
          <w:szCs w:val="28"/>
        </w:rPr>
        <w:t>七、说明</w:t>
      </w:r>
    </w:p>
    <w:p w:rsidR="004D27AE" w:rsidRDefault="00D11EF2">
      <w:pPr>
        <w:widowControl w:val="0"/>
        <w:topLinePunct/>
        <w:spacing w:line="240" w:lineRule="auto"/>
        <w:ind w:firstLineChars="200" w:firstLine="480"/>
        <w:jc w:val="both"/>
        <w:rPr>
          <w:rFonts w:ascii="宋体" w:eastAsia="宋体" w:hAnsi="宋体" w:cs="宋体"/>
          <w:color w:val="auto"/>
          <w:kern w:val="2"/>
          <w:sz w:val="24"/>
        </w:rPr>
      </w:pPr>
      <w:r>
        <w:rPr>
          <w:rFonts w:ascii="宋体" w:eastAsia="宋体" w:hAnsi="宋体" w:cs="宋体" w:hint="eastAsia"/>
          <w:color w:val="auto"/>
          <w:kern w:val="2"/>
          <w:sz w:val="24"/>
        </w:rPr>
        <w:t>本标准依据《江苏省中等职业学校美术专业类课程指导方案》编制，适用于江苏省中等职业学校美术类各专业（三年制）学生。</w:t>
      </w:r>
    </w:p>
    <w:p w:rsidR="004D27AE" w:rsidRDefault="004D27AE">
      <w:pPr>
        <w:widowControl w:val="0"/>
        <w:topLinePunct/>
        <w:spacing w:line="240" w:lineRule="auto"/>
        <w:ind w:firstLineChars="200" w:firstLine="480"/>
        <w:jc w:val="both"/>
        <w:rPr>
          <w:rFonts w:ascii="宋体" w:eastAsia="宋体" w:hAnsi="宋体" w:cs="宋体"/>
          <w:color w:val="auto"/>
          <w:kern w:val="2"/>
          <w:sz w:val="24"/>
        </w:rPr>
      </w:pPr>
    </w:p>
    <w:p w:rsidR="004D27AE" w:rsidRDefault="00D11EF2">
      <w:pPr>
        <w:spacing w:line="240" w:lineRule="auto"/>
        <w:ind w:firstLineChars="200" w:firstLine="480"/>
        <w:rPr>
          <w:rFonts w:ascii="楷体" w:eastAsia="楷体" w:hAnsi="楷体" w:cs="仿宋"/>
          <w:kern w:val="2"/>
          <w:sz w:val="24"/>
        </w:rPr>
      </w:pPr>
      <w:r>
        <w:rPr>
          <w:rFonts w:ascii="黑体" w:eastAsia="黑体" w:hAnsi="黑体" w:cs="仿宋" w:hint="eastAsia"/>
          <w:color w:val="auto"/>
          <w:kern w:val="2"/>
          <w:sz w:val="24"/>
        </w:rPr>
        <w:t>（开发人员及单位：</w:t>
      </w:r>
      <w:r>
        <w:rPr>
          <w:rFonts w:ascii="楷体" w:eastAsia="楷体" w:hAnsi="楷体" w:cs="仿宋" w:hint="eastAsia"/>
          <w:kern w:val="2"/>
          <w:sz w:val="24"/>
        </w:rPr>
        <w:t>高飞、严爱明，江苏省通州中等专业学校；</w:t>
      </w:r>
      <w:r>
        <w:rPr>
          <w:rFonts w:ascii="楷体" w:eastAsia="楷体" w:hAnsi="楷体" w:cs="仿宋" w:hint="eastAsia"/>
          <w:sz w:val="24"/>
        </w:rPr>
        <w:t>陈文波，江苏省宿迁经贸高等职业技术学校；</w:t>
      </w:r>
      <w:r>
        <w:rPr>
          <w:rFonts w:ascii="楷体" w:eastAsia="楷体" w:hAnsi="楷体" w:cs="仿宋" w:hint="eastAsia"/>
          <w:kern w:val="2"/>
          <w:sz w:val="24"/>
        </w:rPr>
        <w:t>周清，苏州工艺美术职业技术学院；余征，南京玄武中等专业学校；</w:t>
      </w:r>
      <w:bookmarkStart w:id="2" w:name="_GoBack"/>
      <w:bookmarkEnd w:id="2"/>
      <w:r>
        <w:rPr>
          <w:rFonts w:ascii="楷体" w:eastAsia="楷体" w:hAnsi="楷体" w:cs="仿宋" w:hint="eastAsia"/>
          <w:kern w:val="2"/>
          <w:sz w:val="24"/>
        </w:rPr>
        <w:t>王佳，苏州艺术学校；刘信国，</w:t>
      </w:r>
      <w:r>
        <w:rPr>
          <w:rFonts w:ascii="楷体" w:eastAsia="楷体" w:hAnsi="楷体" w:cs="仿宋" w:hint="eastAsia"/>
          <w:kern w:val="2"/>
          <w:sz w:val="24"/>
        </w:rPr>
        <w:t>江苏圣夫岛纺织生物科技有限公司）</w:t>
      </w:r>
    </w:p>
    <w:sectPr w:rsidR="004D27AE">
      <w:footerReference w:type="default" r:id="rId6"/>
      <w:pgSz w:w="12387" w:h="1535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F2" w:rsidRDefault="00D11EF2">
      <w:pPr>
        <w:spacing w:line="240" w:lineRule="auto"/>
      </w:pPr>
      <w:r>
        <w:separator/>
      </w:r>
    </w:p>
  </w:endnote>
  <w:endnote w:type="continuationSeparator" w:id="0">
    <w:p w:rsidR="00D11EF2" w:rsidRDefault="00D11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
    <w:altName w:val="SimSun-ExtB"/>
    <w:charset w:val="86"/>
    <w:family w:val="script"/>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书宋_GBK">
    <w:altName w:val="Arial Unicode MS"/>
    <w:charset w:val="86"/>
    <w:family w:val="script"/>
    <w:pitch w:val="default"/>
    <w:sig w:usb0="00000000"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7AE" w:rsidRDefault="00D11EF2">
    <w:pPr>
      <w:pStyle w:val="a7"/>
      <w:jc w:val="center"/>
    </w:pPr>
    <w:r>
      <w:fldChar w:fldCharType="begin"/>
    </w:r>
    <w:r>
      <w:instrText>PAGE   \* MERGEFORMAT</w:instrText>
    </w:r>
    <w:r>
      <w:fldChar w:fldCharType="separate"/>
    </w:r>
    <w:r w:rsidR="004774EF" w:rsidRPr="004774EF">
      <w:rPr>
        <w:noProof/>
        <w:lang w:val="zh-CN"/>
      </w:rPr>
      <w:t>5</w:t>
    </w:r>
    <w:r>
      <w:fldChar w:fldCharType="end"/>
    </w:r>
  </w:p>
  <w:p w:rsidR="004D27AE" w:rsidRDefault="004D27A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F2" w:rsidRDefault="00D11EF2">
      <w:pPr>
        <w:spacing w:line="240" w:lineRule="auto"/>
      </w:pPr>
      <w:r>
        <w:separator/>
      </w:r>
    </w:p>
  </w:footnote>
  <w:footnote w:type="continuationSeparator" w:id="0">
    <w:p w:rsidR="00D11EF2" w:rsidRDefault="00D11E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FhOWIyOTA2ZDc4MDg1ZGU3NTQzOGY1NGVlMWMifQ=="/>
  </w:docVars>
  <w:rsids>
    <w:rsidRoot w:val="00FA57C3"/>
    <w:rsid w:val="000015EA"/>
    <w:rsid w:val="000039D0"/>
    <w:rsid w:val="00011671"/>
    <w:rsid w:val="000120E3"/>
    <w:rsid w:val="000131F5"/>
    <w:rsid w:val="00020C69"/>
    <w:rsid w:val="00024BCA"/>
    <w:rsid w:val="00030750"/>
    <w:rsid w:val="00031CB3"/>
    <w:rsid w:val="000438CD"/>
    <w:rsid w:val="00043C97"/>
    <w:rsid w:val="00044CC5"/>
    <w:rsid w:val="0004702E"/>
    <w:rsid w:val="00047F41"/>
    <w:rsid w:val="00051636"/>
    <w:rsid w:val="00052BE6"/>
    <w:rsid w:val="00054976"/>
    <w:rsid w:val="000616F5"/>
    <w:rsid w:val="00062302"/>
    <w:rsid w:val="00063384"/>
    <w:rsid w:val="0006373F"/>
    <w:rsid w:val="00065B5C"/>
    <w:rsid w:val="00066381"/>
    <w:rsid w:val="00070561"/>
    <w:rsid w:val="00074068"/>
    <w:rsid w:val="00075369"/>
    <w:rsid w:val="0007738E"/>
    <w:rsid w:val="00080A78"/>
    <w:rsid w:val="00085EE0"/>
    <w:rsid w:val="00090900"/>
    <w:rsid w:val="000A47D4"/>
    <w:rsid w:val="000B0D8D"/>
    <w:rsid w:val="000B623B"/>
    <w:rsid w:val="000C2EFD"/>
    <w:rsid w:val="000C7F5A"/>
    <w:rsid w:val="000E0C2C"/>
    <w:rsid w:val="000E42C7"/>
    <w:rsid w:val="000F5446"/>
    <w:rsid w:val="000F6222"/>
    <w:rsid w:val="0010133E"/>
    <w:rsid w:val="0010622A"/>
    <w:rsid w:val="00112F2D"/>
    <w:rsid w:val="0011678F"/>
    <w:rsid w:val="00120B49"/>
    <w:rsid w:val="0012172E"/>
    <w:rsid w:val="00123E4E"/>
    <w:rsid w:val="00126C83"/>
    <w:rsid w:val="001302C8"/>
    <w:rsid w:val="0013235C"/>
    <w:rsid w:val="001345BF"/>
    <w:rsid w:val="00140E87"/>
    <w:rsid w:val="00142C7C"/>
    <w:rsid w:val="00150A92"/>
    <w:rsid w:val="00151CE0"/>
    <w:rsid w:val="00152ED9"/>
    <w:rsid w:val="00156602"/>
    <w:rsid w:val="00160DBB"/>
    <w:rsid w:val="00163BAD"/>
    <w:rsid w:val="00165AA5"/>
    <w:rsid w:val="001730F6"/>
    <w:rsid w:val="001802A6"/>
    <w:rsid w:val="00180A79"/>
    <w:rsid w:val="001926E9"/>
    <w:rsid w:val="00194F32"/>
    <w:rsid w:val="00196D52"/>
    <w:rsid w:val="001A1BAA"/>
    <w:rsid w:val="001A254A"/>
    <w:rsid w:val="001B043E"/>
    <w:rsid w:val="001B0D71"/>
    <w:rsid w:val="001B2881"/>
    <w:rsid w:val="001B2974"/>
    <w:rsid w:val="001B5B5F"/>
    <w:rsid w:val="001C1A6E"/>
    <w:rsid w:val="001C2AA5"/>
    <w:rsid w:val="001C3D37"/>
    <w:rsid w:val="001C4BAB"/>
    <w:rsid w:val="001C5ADF"/>
    <w:rsid w:val="001D18F8"/>
    <w:rsid w:val="001D3E46"/>
    <w:rsid w:val="001E035B"/>
    <w:rsid w:val="001F2DF3"/>
    <w:rsid w:val="001F5FE1"/>
    <w:rsid w:val="001F60B1"/>
    <w:rsid w:val="001F6C1F"/>
    <w:rsid w:val="002068E6"/>
    <w:rsid w:val="00207964"/>
    <w:rsid w:val="00214488"/>
    <w:rsid w:val="002173DD"/>
    <w:rsid w:val="00217BB9"/>
    <w:rsid w:val="00221828"/>
    <w:rsid w:val="002326F4"/>
    <w:rsid w:val="00233149"/>
    <w:rsid w:val="00234AC7"/>
    <w:rsid w:val="002352AF"/>
    <w:rsid w:val="00240698"/>
    <w:rsid w:val="00246354"/>
    <w:rsid w:val="00250139"/>
    <w:rsid w:val="00250B0E"/>
    <w:rsid w:val="00255BCC"/>
    <w:rsid w:val="002700E5"/>
    <w:rsid w:val="00281CF2"/>
    <w:rsid w:val="00292EDB"/>
    <w:rsid w:val="0029627C"/>
    <w:rsid w:val="00297F56"/>
    <w:rsid w:val="002A192D"/>
    <w:rsid w:val="002A6E73"/>
    <w:rsid w:val="002C3251"/>
    <w:rsid w:val="002D096C"/>
    <w:rsid w:val="002D142F"/>
    <w:rsid w:val="002D60F0"/>
    <w:rsid w:val="002E0F44"/>
    <w:rsid w:val="002E658F"/>
    <w:rsid w:val="002F6796"/>
    <w:rsid w:val="00304074"/>
    <w:rsid w:val="00310424"/>
    <w:rsid w:val="003132D5"/>
    <w:rsid w:val="00317F4D"/>
    <w:rsid w:val="00325F62"/>
    <w:rsid w:val="00326389"/>
    <w:rsid w:val="00327CDE"/>
    <w:rsid w:val="00337B75"/>
    <w:rsid w:val="00345D87"/>
    <w:rsid w:val="0035579E"/>
    <w:rsid w:val="00355FAE"/>
    <w:rsid w:val="00362971"/>
    <w:rsid w:val="00365C5A"/>
    <w:rsid w:val="00376DB4"/>
    <w:rsid w:val="0037743A"/>
    <w:rsid w:val="00381811"/>
    <w:rsid w:val="00382D68"/>
    <w:rsid w:val="0038313E"/>
    <w:rsid w:val="00384DEE"/>
    <w:rsid w:val="00391EE7"/>
    <w:rsid w:val="0039247C"/>
    <w:rsid w:val="00396615"/>
    <w:rsid w:val="0039792F"/>
    <w:rsid w:val="003A6593"/>
    <w:rsid w:val="003B1CD3"/>
    <w:rsid w:val="003B3B66"/>
    <w:rsid w:val="003C4065"/>
    <w:rsid w:val="003C4578"/>
    <w:rsid w:val="003C4794"/>
    <w:rsid w:val="003C621C"/>
    <w:rsid w:val="003D2125"/>
    <w:rsid w:val="003D385E"/>
    <w:rsid w:val="003D45EE"/>
    <w:rsid w:val="003D689E"/>
    <w:rsid w:val="003E66DA"/>
    <w:rsid w:val="003E7805"/>
    <w:rsid w:val="003F0AFC"/>
    <w:rsid w:val="003F1EA7"/>
    <w:rsid w:val="003F25EE"/>
    <w:rsid w:val="00403DC1"/>
    <w:rsid w:val="00405CA5"/>
    <w:rsid w:val="00411C3A"/>
    <w:rsid w:val="00422FAC"/>
    <w:rsid w:val="004263EF"/>
    <w:rsid w:val="004332FA"/>
    <w:rsid w:val="004346D0"/>
    <w:rsid w:val="00436C4C"/>
    <w:rsid w:val="00451408"/>
    <w:rsid w:val="00462160"/>
    <w:rsid w:val="004721A1"/>
    <w:rsid w:val="00473101"/>
    <w:rsid w:val="00475385"/>
    <w:rsid w:val="004774EF"/>
    <w:rsid w:val="00484CF2"/>
    <w:rsid w:val="00486645"/>
    <w:rsid w:val="004910EF"/>
    <w:rsid w:val="0049669A"/>
    <w:rsid w:val="004A0A6C"/>
    <w:rsid w:val="004A18D1"/>
    <w:rsid w:val="004A1E0D"/>
    <w:rsid w:val="004A2F49"/>
    <w:rsid w:val="004A3019"/>
    <w:rsid w:val="004A6298"/>
    <w:rsid w:val="004A7699"/>
    <w:rsid w:val="004B07C8"/>
    <w:rsid w:val="004B0B1E"/>
    <w:rsid w:val="004B0B83"/>
    <w:rsid w:val="004B3D6A"/>
    <w:rsid w:val="004B52B3"/>
    <w:rsid w:val="004B5F2F"/>
    <w:rsid w:val="004B7D48"/>
    <w:rsid w:val="004C5B5B"/>
    <w:rsid w:val="004D102F"/>
    <w:rsid w:val="004D27AE"/>
    <w:rsid w:val="004D3E79"/>
    <w:rsid w:val="004E0DE3"/>
    <w:rsid w:val="004E7FF1"/>
    <w:rsid w:val="004F6547"/>
    <w:rsid w:val="004F7A43"/>
    <w:rsid w:val="00501F6A"/>
    <w:rsid w:val="00502130"/>
    <w:rsid w:val="00505FE5"/>
    <w:rsid w:val="00507264"/>
    <w:rsid w:val="00510EA2"/>
    <w:rsid w:val="00512F5E"/>
    <w:rsid w:val="005156A7"/>
    <w:rsid w:val="00516F2F"/>
    <w:rsid w:val="005243A2"/>
    <w:rsid w:val="005321D4"/>
    <w:rsid w:val="00532E30"/>
    <w:rsid w:val="00533678"/>
    <w:rsid w:val="00535272"/>
    <w:rsid w:val="00535844"/>
    <w:rsid w:val="00535C0A"/>
    <w:rsid w:val="00540F0A"/>
    <w:rsid w:val="005434CE"/>
    <w:rsid w:val="00544889"/>
    <w:rsid w:val="00544A7A"/>
    <w:rsid w:val="00551249"/>
    <w:rsid w:val="005518C6"/>
    <w:rsid w:val="005609D9"/>
    <w:rsid w:val="00562792"/>
    <w:rsid w:val="00563EE9"/>
    <w:rsid w:val="00566823"/>
    <w:rsid w:val="005758D0"/>
    <w:rsid w:val="00575E87"/>
    <w:rsid w:val="00576DD6"/>
    <w:rsid w:val="00580273"/>
    <w:rsid w:val="005811B1"/>
    <w:rsid w:val="005835ED"/>
    <w:rsid w:val="005B0CFB"/>
    <w:rsid w:val="005B1081"/>
    <w:rsid w:val="005B7B71"/>
    <w:rsid w:val="005C11DC"/>
    <w:rsid w:val="005C1FB0"/>
    <w:rsid w:val="005C3128"/>
    <w:rsid w:val="005C3C28"/>
    <w:rsid w:val="005C4F6C"/>
    <w:rsid w:val="005D6050"/>
    <w:rsid w:val="005E0CEE"/>
    <w:rsid w:val="005F127C"/>
    <w:rsid w:val="005F7DC2"/>
    <w:rsid w:val="00601776"/>
    <w:rsid w:val="0060352D"/>
    <w:rsid w:val="0060390F"/>
    <w:rsid w:val="006045F0"/>
    <w:rsid w:val="0061400F"/>
    <w:rsid w:val="00616352"/>
    <w:rsid w:val="00616688"/>
    <w:rsid w:val="00620DDC"/>
    <w:rsid w:val="00621DE2"/>
    <w:rsid w:val="006249DC"/>
    <w:rsid w:val="00630D31"/>
    <w:rsid w:val="00634C7C"/>
    <w:rsid w:val="00636C0F"/>
    <w:rsid w:val="00637E4F"/>
    <w:rsid w:val="00645F83"/>
    <w:rsid w:val="006512BE"/>
    <w:rsid w:val="00665484"/>
    <w:rsid w:val="00666CD2"/>
    <w:rsid w:val="00670715"/>
    <w:rsid w:val="006727BC"/>
    <w:rsid w:val="00674513"/>
    <w:rsid w:val="0067779D"/>
    <w:rsid w:val="006801A9"/>
    <w:rsid w:val="0068283F"/>
    <w:rsid w:val="006867F3"/>
    <w:rsid w:val="00687064"/>
    <w:rsid w:val="00690B30"/>
    <w:rsid w:val="00690FB1"/>
    <w:rsid w:val="00696C6F"/>
    <w:rsid w:val="006A0AFD"/>
    <w:rsid w:val="006A19B3"/>
    <w:rsid w:val="006B5277"/>
    <w:rsid w:val="006C3B5F"/>
    <w:rsid w:val="006C4A1B"/>
    <w:rsid w:val="006C537E"/>
    <w:rsid w:val="006C649A"/>
    <w:rsid w:val="006C7872"/>
    <w:rsid w:val="006D185A"/>
    <w:rsid w:val="006D351B"/>
    <w:rsid w:val="006D7681"/>
    <w:rsid w:val="006D7DDA"/>
    <w:rsid w:val="006E28A5"/>
    <w:rsid w:val="006E3F49"/>
    <w:rsid w:val="006F09B6"/>
    <w:rsid w:val="006F27FD"/>
    <w:rsid w:val="006F587C"/>
    <w:rsid w:val="006F5B1F"/>
    <w:rsid w:val="006F62E5"/>
    <w:rsid w:val="006F6897"/>
    <w:rsid w:val="007010D2"/>
    <w:rsid w:val="00703B2E"/>
    <w:rsid w:val="00705DF7"/>
    <w:rsid w:val="00714ED9"/>
    <w:rsid w:val="00720332"/>
    <w:rsid w:val="00722177"/>
    <w:rsid w:val="00724F34"/>
    <w:rsid w:val="00727951"/>
    <w:rsid w:val="00737F5D"/>
    <w:rsid w:val="00740CD0"/>
    <w:rsid w:val="00757BB1"/>
    <w:rsid w:val="00762AFC"/>
    <w:rsid w:val="00766583"/>
    <w:rsid w:val="007669D6"/>
    <w:rsid w:val="007721AE"/>
    <w:rsid w:val="00787D4F"/>
    <w:rsid w:val="0079405E"/>
    <w:rsid w:val="00796795"/>
    <w:rsid w:val="007A2BE5"/>
    <w:rsid w:val="007A3686"/>
    <w:rsid w:val="007B0588"/>
    <w:rsid w:val="007B3AE1"/>
    <w:rsid w:val="007B4F89"/>
    <w:rsid w:val="007C1B89"/>
    <w:rsid w:val="007C34DA"/>
    <w:rsid w:val="007D44EA"/>
    <w:rsid w:val="007D482B"/>
    <w:rsid w:val="007D61D2"/>
    <w:rsid w:val="007D648F"/>
    <w:rsid w:val="007E727F"/>
    <w:rsid w:val="007F093B"/>
    <w:rsid w:val="00800845"/>
    <w:rsid w:val="00802050"/>
    <w:rsid w:val="008028BE"/>
    <w:rsid w:val="00811834"/>
    <w:rsid w:val="008127D9"/>
    <w:rsid w:val="0081363D"/>
    <w:rsid w:val="00817033"/>
    <w:rsid w:val="008172BE"/>
    <w:rsid w:val="00843D10"/>
    <w:rsid w:val="008474AB"/>
    <w:rsid w:val="00852B8B"/>
    <w:rsid w:val="0085774E"/>
    <w:rsid w:val="00857E4A"/>
    <w:rsid w:val="00860545"/>
    <w:rsid w:val="00862F9F"/>
    <w:rsid w:val="00872062"/>
    <w:rsid w:val="00873BCD"/>
    <w:rsid w:val="008811E8"/>
    <w:rsid w:val="00883F46"/>
    <w:rsid w:val="00890EB8"/>
    <w:rsid w:val="008977D4"/>
    <w:rsid w:val="008B3A99"/>
    <w:rsid w:val="008B3D0E"/>
    <w:rsid w:val="008B3DDC"/>
    <w:rsid w:val="008B55C8"/>
    <w:rsid w:val="008B6543"/>
    <w:rsid w:val="008D166F"/>
    <w:rsid w:val="008D39DA"/>
    <w:rsid w:val="008D520D"/>
    <w:rsid w:val="008D531E"/>
    <w:rsid w:val="008E1ECA"/>
    <w:rsid w:val="008F015F"/>
    <w:rsid w:val="008F339D"/>
    <w:rsid w:val="008F7857"/>
    <w:rsid w:val="00901981"/>
    <w:rsid w:val="0091004E"/>
    <w:rsid w:val="009129DD"/>
    <w:rsid w:val="009150C6"/>
    <w:rsid w:val="009208EE"/>
    <w:rsid w:val="00920C46"/>
    <w:rsid w:val="009217BC"/>
    <w:rsid w:val="009220F0"/>
    <w:rsid w:val="0092497E"/>
    <w:rsid w:val="00942146"/>
    <w:rsid w:val="00943A77"/>
    <w:rsid w:val="00943ED2"/>
    <w:rsid w:val="0095380A"/>
    <w:rsid w:val="00957A45"/>
    <w:rsid w:val="00960619"/>
    <w:rsid w:val="00963AD8"/>
    <w:rsid w:val="00971A24"/>
    <w:rsid w:val="00971BFB"/>
    <w:rsid w:val="0097503C"/>
    <w:rsid w:val="0098071E"/>
    <w:rsid w:val="00982A1C"/>
    <w:rsid w:val="00990F6B"/>
    <w:rsid w:val="00992E63"/>
    <w:rsid w:val="009976FD"/>
    <w:rsid w:val="009A08D7"/>
    <w:rsid w:val="009B02D8"/>
    <w:rsid w:val="009B459D"/>
    <w:rsid w:val="009B6607"/>
    <w:rsid w:val="009C0C8F"/>
    <w:rsid w:val="009C23C0"/>
    <w:rsid w:val="009C3560"/>
    <w:rsid w:val="009C51C2"/>
    <w:rsid w:val="009D0B69"/>
    <w:rsid w:val="009D7281"/>
    <w:rsid w:val="009D7882"/>
    <w:rsid w:val="009E56B7"/>
    <w:rsid w:val="009E72EB"/>
    <w:rsid w:val="009F4149"/>
    <w:rsid w:val="009F4C47"/>
    <w:rsid w:val="009F65F1"/>
    <w:rsid w:val="009F73C2"/>
    <w:rsid w:val="009F76F3"/>
    <w:rsid w:val="00A0247F"/>
    <w:rsid w:val="00A03EB9"/>
    <w:rsid w:val="00A04430"/>
    <w:rsid w:val="00A11143"/>
    <w:rsid w:val="00A123D3"/>
    <w:rsid w:val="00A140DD"/>
    <w:rsid w:val="00A16115"/>
    <w:rsid w:val="00A16B08"/>
    <w:rsid w:val="00A21165"/>
    <w:rsid w:val="00A25EEC"/>
    <w:rsid w:val="00A26F9B"/>
    <w:rsid w:val="00A33F40"/>
    <w:rsid w:val="00A37386"/>
    <w:rsid w:val="00A4235B"/>
    <w:rsid w:val="00A435AF"/>
    <w:rsid w:val="00A52102"/>
    <w:rsid w:val="00A54E1A"/>
    <w:rsid w:val="00A61BF8"/>
    <w:rsid w:val="00A728BC"/>
    <w:rsid w:val="00A76000"/>
    <w:rsid w:val="00A8251A"/>
    <w:rsid w:val="00A859CC"/>
    <w:rsid w:val="00A90B92"/>
    <w:rsid w:val="00AA28D4"/>
    <w:rsid w:val="00AA75DF"/>
    <w:rsid w:val="00AB034E"/>
    <w:rsid w:val="00AB1CC4"/>
    <w:rsid w:val="00AB27CE"/>
    <w:rsid w:val="00AB315B"/>
    <w:rsid w:val="00AB38BC"/>
    <w:rsid w:val="00AB3C0C"/>
    <w:rsid w:val="00AB7D62"/>
    <w:rsid w:val="00AC3EDF"/>
    <w:rsid w:val="00AC7FCD"/>
    <w:rsid w:val="00AD3923"/>
    <w:rsid w:val="00AD4A46"/>
    <w:rsid w:val="00AD634F"/>
    <w:rsid w:val="00AD6A98"/>
    <w:rsid w:val="00AE2B37"/>
    <w:rsid w:val="00AE4FE2"/>
    <w:rsid w:val="00AE626C"/>
    <w:rsid w:val="00AF0099"/>
    <w:rsid w:val="00AF2E43"/>
    <w:rsid w:val="00AF2FC9"/>
    <w:rsid w:val="00B07683"/>
    <w:rsid w:val="00B15AC1"/>
    <w:rsid w:val="00B2028B"/>
    <w:rsid w:val="00B2085B"/>
    <w:rsid w:val="00B21CE2"/>
    <w:rsid w:val="00B24F36"/>
    <w:rsid w:val="00B25C5E"/>
    <w:rsid w:val="00B27C0F"/>
    <w:rsid w:val="00B27F58"/>
    <w:rsid w:val="00B308B8"/>
    <w:rsid w:val="00B36714"/>
    <w:rsid w:val="00B4216E"/>
    <w:rsid w:val="00B42F20"/>
    <w:rsid w:val="00B45AC3"/>
    <w:rsid w:val="00B51830"/>
    <w:rsid w:val="00B51DE1"/>
    <w:rsid w:val="00B55939"/>
    <w:rsid w:val="00B647FE"/>
    <w:rsid w:val="00B76214"/>
    <w:rsid w:val="00B81B18"/>
    <w:rsid w:val="00B82B68"/>
    <w:rsid w:val="00B91F33"/>
    <w:rsid w:val="00B96299"/>
    <w:rsid w:val="00BA1E36"/>
    <w:rsid w:val="00BA30E0"/>
    <w:rsid w:val="00BA74B3"/>
    <w:rsid w:val="00BB0EC6"/>
    <w:rsid w:val="00BC4DF0"/>
    <w:rsid w:val="00BC6462"/>
    <w:rsid w:val="00BD136B"/>
    <w:rsid w:val="00BE2C97"/>
    <w:rsid w:val="00BE3079"/>
    <w:rsid w:val="00BE568A"/>
    <w:rsid w:val="00BF12FD"/>
    <w:rsid w:val="00BF17CB"/>
    <w:rsid w:val="00BF1939"/>
    <w:rsid w:val="00BF1976"/>
    <w:rsid w:val="00BF2C3F"/>
    <w:rsid w:val="00C001C4"/>
    <w:rsid w:val="00C00A9A"/>
    <w:rsid w:val="00C00EA6"/>
    <w:rsid w:val="00C039B4"/>
    <w:rsid w:val="00C141F7"/>
    <w:rsid w:val="00C20741"/>
    <w:rsid w:val="00C239B6"/>
    <w:rsid w:val="00C25913"/>
    <w:rsid w:val="00C37212"/>
    <w:rsid w:val="00C40B92"/>
    <w:rsid w:val="00C461F8"/>
    <w:rsid w:val="00C47140"/>
    <w:rsid w:val="00C52D8F"/>
    <w:rsid w:val="00C53B58"/>
    <w:rsid w:val="00C606E7"/>
    <w:rsid w:val="00C6302E"/>
    <w:rsid w:val="00C63318"/>
    <w:rsid w:val="00C64112"/>
    <w:rsid w:val="00C65E72"/>
    <w:rsid w:val="00C70A18"/>
    <w:rsid w:val="00C71EE3"/>
    <w:rsid w:val="00C77A2F"/>
    <w:rsid w:val="00C82289"/>
    <w:rsid w:val="00C90ABA"/>
    <w:rsid w:val="00C91F1C"/>
    <w:rsid w:val="00C96E1B"/>
    <w:rsid w:val="00CA3A55"/>
    <w:rsid w:val="00CA4811"/>
    <w:rsid w:val="00CA6A51"/>
    <w:rsid w:val="00CB0E58"/>
    <w:rsid w:val="00CB1D13"/>
    <w:rsid w:val="00CB44CC"/>
    <w:rsid w:val="00CC0001"/>
    <w:rsid w:val="00CC2A6D"/>
    <w:rsid w:val="00CC3037"/>
    <w:rsid w:val="00CC4E08"/>
    <w:rsid w:val="00CC4F91"/>
    <w:rsid w:val="00CC62D1"/>
    <w:rsid w:val="00CD58D1"/>
    <w:rsid w:val="00CD7E32"/>
    <w:rsid w:val="00CE09B1"/>
    <w:rsid w:val="00CE09DD"/>
    <w:rsid w:val="00CE0A91"/>
    <w:rsid w:val="00CE0FC9"/>
    <w:rsid w:val="00CF586F"/>
    <w:rsid w:val="00CF7AE3"/>
    <w:rsid w:val="00D01BC0"/>
    <w:rsid w:val="00D03B1F"/>
    <w:rsid w:val="00D047F3"/>
    <w:rsid w:val="00D062E9"/>
    <w:rsid w:val="00D07381"/>
    <w:rsid w:val="00D11A14"/>
    <w:rsid w:val="00D11EF2"/>
    <w:rsid w:val="00D12F95"/>
    <w:rsid w:val="00D16B65"/>
    <w:rsid w:val="00D216F4"/>
    <w:rsid w:val="00D2697B"/>
    <w:rsid w:val="00D3685C"/>
    <w:rsid w:val="00D41E93"/>
    <w:rsid w:val="00D64136"/>
    <w:rsid w:val="00D808C6"/>
    <w:rsid w:val="00D81827"/>
    <w:rsid w:val="00D85B4B"/>
    <w:rsid w:val="00D92752"/>
    <w:rsid w:val="00D93ACA"/>
    <w:rsid w:val="00D940E1"/>
    <w:rsid w:val="00D9708E"/>
    <w:rsid w:val="00DA0F0D"/>
    <w:rsid w:val="00DA5B05"/>
    <w:rsid w:val="00DB12CC"/>
    <w:rsid w:val="00DC2CCC"/>
    <w:rsid w:val="00DC4845"/>
    <w:rsid w:val="00DC52D1"/>
    <w:rsid w:val="00DC5311"/>
    <w:rsid w:val="00DC6638"/>
    <w:rsid w:val="00DD0311"/>
    <w:rsid w:val="00DD06F3"/>
    <w:rsid w:val="00DD5421"/>
    <w:rsid w:val="00DD6BC1"/>
    <w:rsid w:val="00DE23FD"/>
    <w:rsid w:val="00DE3F29"/>
    <w:rsid w:val="00DF4084"/>
    <w:rsid w:val="00E05032"/>
    <w:rsid w:val="00E0749B"/>
    <w:rsid w:val="00E1361F"/>
    <w:rsid w:val="00E26C86"/>
    <w:rsid w:val="00E2765A"/>
    <w:rsid w:val="00E31275"/>
    <w:rsid w:val="00E33172"/>
    <w:rsid w:val="00E336E3"/>
    <w:rsid w:val="00E3567D"/>
    <w:rsid w:val="00E40298"/>
    <w:rsid w:val="00E419CB"/>
    <w:rsid w:val="00E5427A"/>
    <w:rsid w:val="00E545E5"/>
    <w:rsid w:val="00E57C51"/>
    <w:rsid w:val="00E6052B"/>
    <w:rsid w:val="00E629AC"/>
    <w:rsid w:val="00E659E1"/>
    <w:rsid w:val="00E671C0"/>
    <w:rsid w:val="00E71943"/>
    <w:rsid w:val="00E80AB2"/>
    <w:rsid w:val="00E82A56"/>
    <w:rsid w:val="00E84B88"/>
    <w:rsid w:val="00E91F87"/>
    <w:rsid w:val="00E93DC0"/>
    <w:rsid w:val="00E97E78"/>
    <w:rsid w:val="00EA174F"/>
    <w:rsid w:val="00EA76CA"/>
    <w:rsid w:val="00EB2818"/>
    <w:rsid w:val="00EB4538"/>
    <w:rsid w:val="00EB4A6B"/>
    <w:rsid w:val="00EB5297"/>
    <w:rsid w:val="00EC23CA"/>
    <w:rsid w:val="00ED5FD3"/>
    <w:rsid w:val="00ED6EEE"/>
    <w:rsid w:val="00EE3E4C"/>
    <w:rsid w:val="00EE64F7"/>
    <w:rsid w:val="00EE7ECB"/>
    <w:rsid w:val="00EF25C2"/>
    <w:rsid w:val="00F00865"/>
    <w:rsid w:val="00F043AD"/>
    <w:rsid w:val="00F106B7"/>
    <w:rsid w:val="00F10F21"/>
    <w:rsid w:val="00F11F4A"/>
    <w:rsid w:val="00F1369F"/>
    <w:rsid w:val="00F14367"/>
    <w:rsid w:val="00F151BB"/>
    <w:rsid w:val="00F16C07"/>
    <w:rsid w:val="00F176B5"/>
    <w:rsid w:val="00F2499B"/>
    <w:rsid w:val="00F24B9A"/>
    <w:rsid w:val="00F2524C"/>
    <w:rsid w:val="00F312A7"/>
    <w:rsid w:val="00F34214"/>
    <w:rsid w:val="00F37358"/>
    <w:rsid w:val="00F50759"/>
    <w:rsid w:val="00F53D5C"/>
    <w:rsid w:val="00F57DBC"/>
    <w:rsid w:val="00F6137D"/>
    <w:rsid w:val="00F66823"/>
    <w:rsid w:val="00F72EC6"/>
    <w:rsid w:val="00F754F5"/>
    <w:rsid w:val="00F75C31"/>
    <w:rsid w:val="00F81A0E"/>
    <w:rsid w:val="00F825F3"/>
    <w:rsid w:val="00F84853"/>
    <w:rsid w:val="00F864A6"/>
    <w:rsid w:val="00F92841"/>
    <w:rsid w:val="00F92F2C"/>
    <w:rsid w:val="00FA037D"/>
    <w:rsid w:val="00FA1EE7"/>
    <w:rsid w:val="00FA2CDC"/>
    <w:rsid w:val="00FA57C3"/>
    <w:rsid w:val="00FB5A8D"/>
    <w:rsid w:val="00FC4922"/>
    <w:rsid w:val="00FD2FF7"/>
    <w:rsid w:val="00FD7338"/>
    <w:rsid w:val="00FE131F"/>
    <w:rsid w:val="00FE503F"/>
    <w:rsid w:val="00FF2056"/>
    <w:rsid w:val="00FF4342"/>
    <w:rsid w:val="00FF597D"/>
    <w:rsid w:val="035E2D1C"/>
    <w:rsid w:val="0D1702E4"/>
    <w:rsid w:val="0D2D0A69"/>
    <w:rsid w:val="0E31799A"/>
    <w:rsid w:val="0E5D1CEC"/>
    <w:rsid w:val="0ED92514"/>
    <w:rsid w:val="0FC14FE2"/>
    <w:rsid w:val="11BF4094"/>
    <w:rsid w:val="19A74B9D"/>
    <w:rsid w:val="1CA377E4"/>
    <w:rsid w:val="1EE95C40"/>
    <w:rsid w:val="2A2E23E0"/>
    <w:rsid w:val="2FE9493C"/>
    <w:rsid w:val="35780088"/>
    <w:rsid w:val="3A0C43C4"/>
    <w:rsid w:val="3A133B7B"/>
    <w:rsid w:val="45206BA4"/>
    <w:rsid w:val="459937E7"/>
    <w:rsid w:val="46E97D31"/>
    <w:rsid w:val="4E186BBD"/>
    <w:rsid w:val="59F5359F"/>
    <w:rsid w:val="5CD56E78"/>
    <w:rsid w:val="5D3408C5"/>
    <w:rsid w:val="5DD77BB2"/>
    <w:rsid w:val="64516AF2"/>
    <w:rsid w:val="658565A5"/>
    <w:rsid w:val="68B20C2E"/>
    <w:rsid w:val="7173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E76E62-F76C-4B62-9533-747B5265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NEU-BZ"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spacing w:line="315" w:lineRule="exact"/>
    </w:pPr>
    <w:rPr>
      <w:rFonts w:ascii="NEU-BZ"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spacing w:before="100" w:beforeAutospacing="1" w:after="100" w:afterAutospacing="1"/>
      <w:textAlignment w:val="baseline"/>
    </w:pPr>
    <w:rPr>
      <w:rFonts w:ascii="宋体" w:hAnsi="宋体"/>
      <w:b/>
      <w:sz w:val="36"/>
      <w:szCs w:val="36"/>
    </w:rPr>
  </w:style>
  <w:style w:type="paragraph" w:styleId="a3">
    <w:name w:val="annotation text"/>
    <w:basedOn w:val="a"/>
    <w:link w:val="a4"/>
    <w:uiPriority w:val="99"/>
    <w:semiHidden/>
    <w:unhideWhenUsed/>
    <w:qFormat/>
  </w:style>
  <w:style w:type="paragraph" w:styleId="a5">
    <w:name w:val="Balloon Text"/>
    <w:basedOn w:val="a"/>
    <w:link w:val="a6"/>
    <w:uiPriority w:val="99"/>
    <w:semiHidden/>
    <w:qFormat/>
    <w:rPr>
      <w:rFonts w:ascii="Tahoma" w:hAnsi="Tahoma" w:cs="Tahoma"/>
      <w:sz w:val="16"/>
      <w:szCs w:val="16"/>
    </w:rPr>
  </w:style>
  <w:style w:type="paragraph" w:styleId="a7">
    <w:name w:val="footer"/>
    <w:basedOn w:val="a"/>
    <w:link w:val="a8"/>
    <w:uiPriority w:val="99"/>
    <w:qFormat/>
    <w:pPr>
      <w:tabs>
        <w:tab w:val="center" w:pos="4513"/>
        <w:tab w:val="right" w:pos="9026"/>
      </w:tabs>
    </w:pPr>
  </w:style>
  <w:style w:type="paragraph" w:styleId="a9">
    <w:name w:val="header"/>
    <w:basedOn w:val="a"/>
    <w:link w:val="aa"/>
    <w:uiPriority w:val="99"/>
    <w:qFormat/>
    <w:pPr>
      <w:tabs>
        <w:tab w:val="center" w:pos="4513"/>
        <w:tab w:val="right" w:pos="9026"/>
      </w:tabs>
    </w:pPr>
  </w:style>
  <w:style w:type="paragraph" w:styleId="ab">
    <w:name w:val="footnote text"/>
    <w:basedOn w:val="a"/>
    <w:link w:val="ac"/>
    <w:uiPriority w:val="99"/>
    <w:semiHidden/>
    <w:qFormat/>
    <w:pPr>
      <w:snapToGrid w:val="0"/>
    </w:pPr>
    <w:rPr>
      <w:rFonts w:ascii="Calibri" w:eastAsia="宋体"/>
      <w:color w:val="auto"/>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99"/>
    <w:qFormat/>
    <w:rPr>
      <w:color w:val="76923C"/>
    </w:rPr>
    <w:tblPr>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af0">
    <w:name w:val="annotation reference"/>
    <w:uiPriority w:val="99"/>
    <w:semiHidden/>
    <w:unhideWhenUsed/>
    <w:qFormat/>
    <w:rPr>
      <w:sz w:val="21"/>
      <w:szCs w:val="21"/>
    </w:rPr>
  </w:style>
  <w:style w:type="character" w:styleId="af1">
    <w:name w:val="footnote reference"/>
    <w:uiPriority w:val="99"/>
    <w:semiHidden/>
    <w:qFormat/>
    <w:rPr>
      <w:rFonts w:cs="Times New Roman"/>
      <w:vertAlign w:val="superscript"/>
    </w:rPr>
  </w:style>
  <w:style w:type="character" w:customStyle="1" w:styleId="aa">
    <w:name w:val="页眉 字符"/>
    <w:link w:val="a9"/>
    <w:uiPriority w:val="99"/>
    <w:qFormat/>
    <w:locked/>
    <w:rPr>
      <w:rFonts w:cs="Times New Roman"/>
    </w:rPr>
  </w:style>
  <w:style w:type="character" w:customStyle="1" w:styleId="a8">
    <w:name w:val="页脚 字符"/>
    <w:link w:val="a7"/>
    <w:uiPriority w:val="99"/>
    <w:qFormat/>
    <w:locked/>
    <w:rPr>
      <w:rFonts w:cs="Times New Roman"/>
    </w:rPr>
  </w:style>
  <w:style w:type="paragraph" w:styleId="af2">
    <w:name w:val="List Paragraph"/>
    <w:basedOn w:val="a"/>
    <w:uiPriority w:val="99"/>
    <w:qFormat/>
    <w:pPr>
      <w:ind w:left="720"/>
      <w:contextualSpacing/>
    </w:pPr>
  </w:style>
  <w:style w:type="character" w:customStyle="1" w:styleId="a6">
    <w:name w:val="批注框文本 字符"/>
    <w:link w:val="a5"/>
    <w:uiPriority w:val="99"/>
    <w:semiHidden/>
    <w:qFormat/>
    <w:locked/>
    <w:rPr>
      <w:rFonts w:ascii="Tahoma" w:hAnsi="Tahoma" w:cs="Tahoma"/>
      <w:sz w:val="16"/>
      <w:szCs w:val="16"/>
    </w:rPr>
  </w:style>
  <w:style w:type="paragraph" w:styleId="af3">
    <w:name w:val="Quote"/>
    <w:basedOn w:val="a"/>
    <w:next w:val="a"/>
    <w:link w:val="af4"/>
    <w:uiPriority w:val="99"/>
    <w:qFormat/>
    <w:rPr>
      <w:i/>
      <w:iCs/>
    </w:rPr>
  </w:style>
  <w:style w:type="character" w:customStyle="1" w:styleId="af4">
    <w:name w:val="引用 字符"/>
    <w:link w:val="af3"/>
    <w:uiPriority w:val="99"/>
    <w:qFormat/>
    <w:locked/>
    <w:rPr>
      <w:rFonts w:cs="Times New Roman"/>
      <w:i/>
      <w:iCs/>
      <w:color w:val="000000"/>
    </w:rPr>
  </w:style>
  <w:style w:type="paragraph" w:customStyle="1" w:styleId="MTDisplayEquation">
    <w:name w:val="MTDisplayEquation"/>
    <w:basedOn w:val="a"/>
    <w:next w:val="a"/>
    <w:link w:val="MTDisplayEquationChar"/>
    <w:uiPriority w:val="99"/>
    <w:qFormat/>
    <w:pPr>
      <w:tabs>
        <w:tab w:val="center" w:pos="4160"/>
        <w:tab w:val="right" w:pos="8300"/>
      </w:tabs>
    </w:pPr>
  </w:style>
  <w:style w:type="character" w:customStyle="1" w:styleId="MTDisplayEquationChar">
    <w:name w:val="MTDisplayEquation Char"/>
    <w:link w:val="MTDisplayEquation"/>
    <w:uiPriority w:val="99"/>
    <w:qFormat/>
    <w:locked/>
    <w:rPr>
      <w:rFonts w:cs="Times New Roman"/>
    </w:rPr>
  </w:style>
  <w:style w:type="character" w:customStyle="1" w:styleId="FootnoteTextChar">
    <w:name w:val="Footnote Text Char"/>
    <w:uiPriority w:val="99"/>
    <w:semiHidden/>
    <w:qFormat/>
    <w:locked/>
    <w:rPr>
      <w:sz w:val="18"/>
    </w:rPr>
  </w:style>
  <w:style w:type="character" w:customStyle="1" w:styleId="ac">
    <w:name w:val="脚注文本 字符"/>
    <w:link w:val="ab"/>
    <w:uiPriority w:val="99"/>
    <w:semiHidden/>
    <w:qFormat/>
    <w:locked/>
    <w:rPr>
      <w:rFonts w:ascii="NEU-BZ" w:eastAsia="方正书宋_GBK" w:cs="Times New Roman"/>
      <w:color w:val="000000"/>
      <w:kern w:val="0"/>
      <w:sz w:val="18"/>
      <w:szCs w:val="18"/>
    </w:rPr>
  </w:style>
  <w:style w:type="character" w:customStyle="1" w:styleId="a4">
    <w:name w:val="批注文字 字符"/>
    <w:link w:val="a3"/>
    <w:uiPriority w:val="99"/>
    <w:semiHidden/>
    <w:qFormat/>
    <w:rPr>
      <w:rFonts w:ascii="NEU-BZ" w:eastAsia="方正书宋_GBK"/>
      <w:color w:val="000000"/>
      <w:sz w:val="21"/>
      <w:szCs w:val="22"/>
    </w:rPr>
  </w:style>
  <w:style w:type="character" w:customStyle="1" w:styleId="ae">
    <w:name w:val="批注主题 字符"/>
    <w:link w:val="ad"/>
    <w:uiPriority w:val="99"/>
    <w:semiHidden/>
    <w:qFormat/>
    <w:rPr>
      <w:rFonts w:ascii="NEU-BZ" w:eastAsia="方正书宋_GBK"/>
      <w:b/>
      <w:bCs/>
      <w:color w:val="000000"/>
      <w:sz w:val="21"/>
      <w:szCs w:val="22"/>
    </w:r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611</Words>
  <Characters>3486</Characters>
  <Application>Microsoft Office Word</Application>
  <DocSecurity>0</DocSecurity>
  <Lines>29</Lines>
  <Paragraphs>8</Paragraphs>
  <ScaleCrop>false</ScaleCrop>
  <Company>Intergen Ltd</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cp:lastModifiedBy>
  <cp:revision>317</cp:revision>
  <dcterms:created xsi:type="dcterms:W3CDTF">2015-10-11T14:25:00Z</dcterms:created>
  <dcterms:modified xsi:type="dcterms:W3CDTF">2022-05-24T00:53:00Z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5A7FF9228A9749679FFB2796FBD158B2</vt:lpwstr>
  </property>
</Properties>
</file>