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E1E86">
      <w:pPr>
        <w:adjustRightInd w:val="0"/>
        <w:snapToGrid w:val="0"/>
        <w:spacing w:line="500" w:lineRule="exact"/>
        <w:rPr>
          <w:rFonts w:hint="eastAsia" w:eastAsia="仿宋_GB2312"/>
          <w:color w:val="000000" w:themeColor="text1"/>
          <w:sz w:val="32"/>
          <w:szCs w:val="32"/>
          <w:highlight w:val="none"/>
          <w:lang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附件</w:t>
      </w:r>
      <w:r>
        <w:rPr>
          <w:rFonts w:hint="eastAsia" w:eastAsia="仿宋_GB2312"/>
          <w:color w:val="000000" w:themeColor="text1"/>
          <w:sz w:val="32"/>
          <w:szCs w:val="32"/>
          <w:highlight w:val="none"/>
          <w:lang w:val="en-US" w:eastAsia="zh-CN"/>
          <w14:textFill>
            <w14:solidFill>
              <w14:schemeClr w14:val="tx1"/>
            </w14:solidFill>
          </w14:textFill>
        </w:rPr>
        <w:t>2</w:t>
      </w:r>
    </w:p>
    <w:p w14:paraId="76961CB8">
      <w:pPr>
        <w:spacing w:line="500" w:lineRule="exact"/>
        <w:ind w:firstLine="645"/>
        <w:jc w:val="left"/>
        <w:rPr>
          <w:rFonts w:hint="eastAsia" w:ascii="方正小标宋简体" w:hAnsi="方正小标宋简体" w:eastAsia="方正小标宋简体" w:cs="方正小标宋简体"/>
          <w:color w:val="000000"/>
          <w:sz w:val="40"/>
          <w:szCs w:val="40"/>
          <w:highlight w:val="none"/>
          <w:lang w:val="en-US" w:eastAsia="zh-CN"/>
        </w:rPr>
      </w:pPr>
    </w:p>
    <w:p w14:paraId="4DD93883">
      <w:pPr>
        <w:spacing w:line="500" w:lineRule="exact"/>
        <w:ind w:firstLine="645"/>
        <w:jc w:val="center"/>
        <w:rPr>
          <w:rFonts w:hint="eastAsia" w:ascii="方正小标宋简体" w:hAnsi="方正小标宋简体" w:eastAsia="方正小标宋简体" w:cs="方正小标宋简体"/>
          <w:color w:val="000000"/>
          <w:sz w:val="40"/>
          <w:szCs w:val="40"/>
          <w:highlight w:val="none"/>
          <w:lang w:val="en-US" w:eastAsia="zh-CN"/>
        </w:rPr>
      </w:pPr>
      <w:r>
        <w:rPr>
          <w:rFonts w:hint="eastAsia" w:ascii="方正小标宋简体" w:hAnsi="方正小标宋简体" w:eastAsia="方正小标宋简体" w:cs="方正小标宋简体"/>
          <w:color w:val="000000"/>
          <w:sz w:val="40"/>
          <w:szCs w:val="40"/>
          <w:highlight w:val="none"/>
          <w:lang w:val="en-US" w:eastAsia="zh-CN"/>
        </w:rPr>
        <w:t>常熟市</w:t>
      </w:r>
      <w:bookmarkStart w:id="0" w:name="_GoBack"/>
      <w:bookmarkEnd w:id="0"/>
      <w:r>
        <w:rPr>
          <w:rFonts w:hint="eastAsia" w:ascii="方正小标宋简体" w:hAnsi="方正小标宋简体" w:eastAsia="方正小标宋简体" w:cs="方正小标宋简体"/>
          <w:color w:val="000000"/>
          <w:sz w:val="40"/>
          <w:szCs w:val="40"/>
          <w:highlight w:val="none"/>
          <w:lang w:val="en-US" w:eastAsia="zh-CN"/>
        </w:rPr>
        <w:t>学科带头人复评要求</w:t>
      </w:r>
    </w:p>
    <w:p w14:paraId="52F977E4">
      <w:pPr>
        <w:adjustRightInd w:val="0"/>
        <w:snapToGrid w:val="0"/>
        <w:spacing w:line="500" w:lineRule="exact"/>
        <w:ind w:firstLine="641" w:firstLineChars="200"/>
        <w:jc w:val="center"/>
        <w:rPr>
          <w:rFonts w:hint="eastAsia" w:ascii="方正小标宋简体" w:hAnsi="方正小标宋简体" w:eastAsia="方正小标宋简体" w:cs="方正小标宋简体"/>
          <w:color w:val="000000"/>
          <w:sz w:val="40"/>
          <w:szCs w:val="40"/>
          <w:highlight w:val="none"/>
          <w:lang w:val="en-US" w:eastAsia="zh-CN"/>
        </w:rPr>
      </w:pPr>
      <w:r>
        <w:rPr>
          <w:rFonts w:eastAsiaTheme="minorEastAsia"/>
          <w:b/>
          <w:color w:val="000000" w:themeColor="text1"/>
          <w:sz w:val="32"/>
          <w:szCs w:val="32"/>
          <w:highlight w:val="none"/>
          <w14:textFill>
            <w14:solidFill>
              <w14:schemeClr w14:val="tx1"/>
            </w14:solidFill>
          </w14:textFill>
        </w:rPr>
        <w:t>（202</w:t>
      </w:r>
      <w:r>
        <w:rPr>
          <w:rFonts w:hint="eastAsia" w:eastAsiaTheme="minorEastAsia"/>
          <w:b/>
          <w:color w:val="000000" w:themeColor="text1"/>
          <w:sz w:val="32"/>
          <w:szCs w:val="32"/>
          <w:highlight w:val="none"/>
          <w:lang w:val="en-US" w:eastAsia="zh-CN"/>
          <w14:textFill>
            <w14:solidFill>
              <w14:schemeClr w14:val="tx1"/>
            </w14:solidFill>
          </w14:textFill>
        </w:rPr>
        <w:t>5</w:t>
      </w:r>
      <w:r>
        <w:rPr>
          <w:rFonts w:eastAsiaTheme="minorEastAsia"/>
          <w:b/>
          <w:color w:val="000000" w:themeColor="text1"/>
          <w:sz w:val="32"/>
          <w:szCs w:val="32"/>
          <w:highlight w:val="none"/>
          <w14:textFill>
            <w14:solidFill>
              <w14:schemeClr w14:val="tx1"/>
            </w14:solidFill>
          </w14:textFill>
        </w:rPr>
        <w:t>年修订）</w:t>
      </w:r>
    </w:p>
    <w:p w14:paraId="0F5EF389">
      <w:pPr>
        <w:spacing w:line="500" w:lineRule="exact"/>
        <w:ind w:firstLine="645"/>
        <w:jc w:val="center"/>
        <w:rPr>
          <w:rFonts w:hint="eastAsia" w:ascii="方正小标宋简体" w:hAnsi="方正小标宋简体" w:eastAsia="方正小标宋简体" w:cs="方正小标宋简体"/>
          <w:color w:val="000000"/>
          <w:sz w:val="40"/>
          <w:szCs w:val="40"/>
          <w:highlight w:val="none"/>
          <w:lang w:val="en-US" w:eastAsia="zh-CN"/>
        </w:rPr>
      </w:pPr>
    </w:p>
    <w:p w14:paraId="63EAF039">
      <w:pPr>
        <w:spacing w:line="500" w:lineRule="exact"/>
        <w:ind w:firstLine="645"/>
        <w:rPr>
          <w:rFonts w:eastAsia="仿宋_GB2312"/>
          <w:color w:val="000000"/>
          <w:sz w:val="32"/>
          <w:szCs w:val="32"/>
          <w:highlight w:val="none"/>
        </w:rPr>
      </w:pPr>
      <w:r>
        <w:rPr>
          <w:rFonts w:hint="eastAsia" w:eastAsia="仿宋_GB2312"/>
          <w:color w:val="000000"/>
          <w:sz w:val="32"/>
          <w:szCs w:val="32"/>
          <w:highlight w:val="none"/>
        </w:rPr>
        <w:t>1.</w:t>
      </w:r>
      <w:r>
        <w:rPr>
          <w:rFonts w:eastAsia="仿宋_GB2312"/>
          <w:color w:val="000000"/>
          <w:sz w:val="32"/>
          <w:szCs w:val="32"/>
          <w:highlight w:val="none"/>
        </w:rPr>
        <w:t>常熟市</w:t>
      </w:r>
      <w:r>
        <w:rPr>
          <w:rFonts w:hint="eastAsia" w:eastAsia="仿宋_GB2312"/>
          <w:color w:val="000000"/>
          <w:sz w:val="32"/>
          <w:szCs w:val="32"/>
          <w:highlight w:val="none"/>
        </w:rPr>
        <w:t>学</w:t>
      </w:r>
      <w:r>
        <w:rPr>
          <w:rFonts w:eastAsia="仿宋_GB2312"/>
          <w:color w:val="000000"/>
          <w:sz w:val="32"/>
          <w:szCs w:val="32"/>
          <w:highlight w:val="none"/>
        </w:rPr>
        <w:t>科带头人每两年评选一次，实行任期制，任期六年，任期已满的常熟市级带头人均需参加复评。各校务必要通知到相关对象，任期已满的常熟市</w:t>
      </w:r>
      <w:r>
        <w:rPr>
          <w:rFonts w:hint="eastAsia" w:eastAsia="仿宋_GB2312"/>
          <w:color w:val="000000"/>
          <w:sz w:val="32"/>
          <w:szCs w:val="32"/>
          <w:highlight w:val="none"/>
        </w:rPr>
        <w:t>学</w:t>
      </w:r>
      <w:r>
        <w:rPr>
          <w:rFonts w:eastAsia="仿宋_GB2312"/>
          <w:color w:val="000000"/>
          <w:sz w:val="32"/>
          <w:szCs w:val="32"/>
          <w:highlight w:val="none"/>
        </w:rPr>
        <w:t>科带头人不参加复评的，一律取消带头人称号。</w:t>
      </w:r>
    </w:p>
    <w:p w14:paraId="505F8681">
      <w:pPr>
        <w:spacing w:line="500" w:lineRule="exact"/>
        <w:ind w:firstLine="645"/>
        <w:rPr>
          <w:rFonts w:eastAsia="仿宋_GB2312"/>
          <w:color w:val="000000"/>
          <w:sz w:val="32"/>
          <w:szCs w:val="32"/>
          <w:highlight w:val="none"/>
        </w:rPr>
      </w:pPr>
      <w:r>
        <w:rPr>
          <w:rFonts w:hint="eastAsia" w:eastAsia="仿宋_GB2312"/>
          <w:color w:val="000000"/>
          <w:sz w:val="32"/>
          <w:szCs w:val="32"/>
          <w:highlight w:val="none"/>
        </w:rPr>
        <w:t>2.复评人员需按照目录要求提供相应材料。复评以骨干年度考核材料复核的形式开展评审工作</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具体要求如下</w:t>
      </w:r>
      <w:r>
        <w:rPr>
          <w:rFonts w:hint="eastAsia" w:eastAsia="仿宋_GB2312"/>
          <w:color w:val="000000"/>
          <w:sz w:val="32"/>
          <w:szCs w:val="32"/>
          <w:highlight w:val="none"/>
        </w:rPr>
        <w:t>：</w:t>
      </w:r>
    </w:p>
    <w:p w14:paraId="113EDE49">
      <w:pPr>
        <w:spacing w:line="500" w:lineRule="exact"/>
        <w:ind w:firstLine="645"/>
        <w:rPr>
          <w:rFonts w:eastAsia="仿宋_GB2312"/>
          <w:color w:val="000000"/>
          <w:sz w:val="32"/>
          <w:szCs w:val="32"/>
          <w:highlight w:val="none"/>
        </w:rPr>
      </w:pPr>
      <w:r>
        <w:rPr>
          <w:rFonts w:eastAsia="仿宋_GB2312"/>
          <w:color w:val="000000"/>
          <w:sz w:val="32"/>
          <w:szCs w:val="32"/>
          <w:highlight w:val="none"/>
        </w:rPr>
        <w:t>（</w:t>
      </w:r>
      <w:r>
        <w:rPr>
          <w:rFonts w:hint="eastAsia" w:eastAsia="仿宋_GB2312"/>
          <w:color w:val="000000"/>
          <w:sz w:val="32"/>
          <w:szCs w:val="32"/>
          <w:highlight w:val="none"/>
        </w:rPr>
        <w:t>1）只提供复评周期内骨干年度考核登记表无具体佐证材料附件</w:t>
      </w:r>
      <w:r>
        <w:rPr>
          <w:rFonts w:hint="eastAsia" w:eastAsia="仿宋_GB2312"/>
          <w:color w:val="000000"/>
          <w:sz w:val="32"/>
          <w:szCs w:val="32"/>
          <w:highlight w:val="none"/>
          <w:lang w:val="en-US" w:eastAsia="zh-CN"/>
        </w:rPr>
        <w:t>的，</w:t>
      </w:r>
      <w:r>
        <w:rPr>
          <w:rFonts w:hint="eastAsia" w:eastAsia="仿宋_GB2312"/>
          <w:color w:val="000000"/>
          <w:sz w:val="32"/>
          <w:szCs w:val="32"/>
          <w:highlight w:val="none"/>
        </w:rPr>
        <w:t>复评不予通过。</w:t>
      </w:r>
    </w:p>
    <w:p w14:paraId="49A98D30">
      <w:pPr>
        <w:spacing w:line="500" w:lineRule="exact"/>
        <w:ind w:firstLine="645"/>
        <w:rPr>
          <w:rFonts w:hint="eastAsia" w:eastAsia="仿宋_GB2312"/>
          <w:color w:val="000000"/>
          <w:sz w:val="32"/>
          <w:szCs w:val="32"/>
          <w:highlight w:val="none"/>
          <w:lang w:eastAsia="zh-CN"/>
        </w:rPr>
      </w:pPr>
      <w:r>
        <w:rPr>
          <w:rFonts w:hint="eastAsia" w:eastAsia="仿宋_GB2312"/>
          <w:color w:val="000000"/>
          <w:sz w:val="32"/>
          <w:szCs w:val="32"/>
          <w:highlight w:val="none"/>
        </w:rPr>
        <w:t>（2）复评周期内骨干年度考核登记表中相关考核内容无佐证材料或佐证材料无效（如：无单位盖章等）的该项不得分；佐证材料不全的以提供的有效材料为准重新复核得分</w:t>
      </w:r>
      <w:r>
        <w:rPr>
          <w:rFonts w:hint="eastAsia" w:eastAsia="仿宋_GB2312"/>
          <w:color w:val="000000"/>
          <w:sz w:val="32"/>
          <w:szCs w:val="32"/>
          <w:highlight w:val="none"/>
          <w:lang w:eastAsia="zh-CN"/>
        </w:rPr>
        <w:t>。</w:t>
      </w:r>
    </w:p>
    <w:p w14:paraId="3815BB33">
      <w:pPr>
        <w:spacing w:line="500" w:lineRule="exact"/>
        <w:ind w:firstLine="645"/>
        <w:rPr>
          <w:rFonts w:hint="eastAsia" w:eastAsia="仿宋_GB2312"/>
          <w:color w:val="000000"/>
          <w:sz w:val="32"/>
          <w:szCs w:val="32"/>
          <w:highlight w:val="none"/>
          <w:lang w:eastAsia="zh-CN"/>
        </w:rPr>
      </w:pP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3</w:t>
      </w:r>
      <w:r>
        <w:rPr>
          <w:rFonts w:hint="eastAsia" w:eastAsia="仿宋_GB2312"/>
          <w:color w:val="000000"/>
          <w:sz w:val="32"/>
          <w:szCs w:val="32"/>
          <w:highlight w:val="none"/>
          <w:lang w:eastAsia="zh-CN"/>
        </w:rPr>
        <w:t>）</w:t>
      </w:r>
      <w:r>
        <w:rPr>
          <w:rFonts w:hint="eastAsia" w:eastAsia="仿宋_GB2312"/>
          <w:color w:val="000000"/>
          <w:sz w:val="32"/>
          <w:szCs w:val="32"/>
          <w:highlight w:val="none"/>
        </w:rPr>
        <w:t>复核不满70分的该年度骨干考核为“不称职”</w:t>
      </w:r>
      <w:r>
        <w:rPr>
          <w:rFonts w:hint="eastAsia" w:eastAsia="仿宋_GB2312"/>
          <w:color w:val="000000"/>
          <w:sz w:val="32"/>
          <w:szCs w:val="32"/>
          <w:highlight w:val="none"/>
          <w:lang w:eastAsia="zh-CN"/>
        </w:rPr>
        <w:t>，</w:t>
      </w:r>
      <w:r>
        <w:rPr>
          <w:rFonts w:hint="eastAsia" w:eastAsia="仿宋_GB2312"/>
          <w:color w:val="000000"/>
          <w:sz w:val="32"/>
          <w:szCs w:val="32"/>
          <w:highlight w:val="none"/>
        </w:rPr>
        <w:t>追究相关责任</w:t>
      </w:r>
      <w:r>
        <w:rPr>
          <w:rFonts w:hint="eastAsia" w:eastAsia="仿宋_GB2312"/>
          <w:color w:val="000000"/>
          <w:sz w:val="32"/>
          <w:szCs w:val="32"/>
          <w:highlight w:val="none"/>
          <w:lang w:val="en-US" w:eastAsia="zh-CN"/>
        </w:rPr>
        <w:t>并核减对应骨干待遇</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提供虚假佐证材料的</w:t>
      </w:r>
      <w:r>
        <w:rPr>
          <w:rFonts w:hint="eastAsia" w:eastAsia="仿宋_GB2312"/>
          <w:color w:val="000000"/>
          <w:sz w:val="32"/>
          <w:szCs w:val="32"/>
          <w:highlight w:val="none"/>
        </w:rPr>
        <w:t>复评不予通过并追究相关责任</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核减对应骨干待遇</w:t>
      </w:r>
      <w:r>
        <w:rPr>
          <w:rFonts w:hint="eastAsia" w:eastAsia="仿宋_GB2312"/>
          <w:color w:val="000000"/>
          <w:sz w:val="32"/>
          <w:szCs w:val="32"/>
          <w:highlight w:val="none"/>
          <w:lang w:eastAsia="zh-CN"/>
        </w:rPr>
        <w:t>。</w:t>
      </w:r>
    </w:p>
    <w:p w14:paraId="072FFBE1">
      <w:pPr>
        <w:spacing w:line="500" w:lineRule="exact"/>
        <w:ind w:firstLine="645"/>
        <w:rPr>
          <w:rFonts w:hint="eastAsia" w:eastAsia="仿宋_GB2312"/>
          <w:color w:val="000000"/>
          <w:sz w:val="32"/>
          <w:szCs w:val="32"/>
          <w:highlight w:val="none"/>
          <w:lang w:val="en-US" w:eastAsia="zh-CN"/>
        </w:rPr>
      </w:pP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4</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除</w:t>
      </w:r>
      <w:r>
        <w:rPr>
          <w:rFonts w:hint="eastAsia" w:eastAsia="仿宋_GB2312"/>
          <w:color w:val="000000"/>
          <w:sz w:val="32"/>
          <w:szCs w:val="32"/>
          <w:highlight w:val="none"/>
        </w:rPr>
        <w:t>因相关规定服从工作</w:t>
      </w:r>
      <w:r>
        <w:rPr>
          <w:rFonts w:hint="eastAsia" w:eastAsia="仿宋_GB2312"/>
          <w:color w:val="000000"/>
          <w:sz w:val="32"/>
          <w:szCs w:val="32"/>
          <w:highlight w:val="none"/>
          <w:lang w:val="en-US" w:eastAsia="zh-CN"/>
        </w:rPr>
        <w:t>安排外，学科带头人</w:t>
      </w:r>
      <w:r>
        <w:rPr>
          <w:rFonts w:eastAsia="仿宋_GB2312"/>
          <w:color w:val="000000"/>
          <w:sz w:val="32"/>
          <w:szCs w:val="32"/>
          <w:highlight w:val="none"/>
        </w:rPr>
        <w:t>任期</w:t>
      </w:r>
      <w:r>
        <w:rPr>
          <w:rFonts w:hint="eastAsia" w:eastAsia="仿宋_GB2312"/>
          <w:color w:val="000000"/>
          <w:sz w:val="32"/>
          <w:szCs w:val="32"/>
          <w:highlight w:val="none"/>
          <w:lang w:val="en-US" w:eastAsia="zh-CN"/>
        </w:rPr>
        <w:t>内应在专业示范、比赛获奖、教学科研、辐射作用等方面发挥示范引领作用（六年任期内，在四个方面符合其中三项的可认为发挥示范引领作用）：</w:t>
      </w:r>
    </w:p>
    <w:p w14:paraId="22F211E6">
      <w:pPr>
        <w:spacing w:line="500" w:lineRule="exact"/>
        <w:ind w:firstLine="645"/>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专业示范：有市级公开课1节及以上或市级讲座1次及以上或集团（校际）公开课3节及以上。</w:t>
      </w:r>
    </w:p>
    <w:p w14:paraId="01311BC3">
      <w:pPr>
        <w:spacing w:line="500" w:lineRule="exact"/>
        <w:ind w:firstLine="645"/>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比赛获奖：在市级评优课、基本功、素养比赛、能力大赛中获等级奖或在市级“有本课堂”课例评比及其他市级教学、德育、科研类评比中获二等奖及以上。</w:t>
      </w:r>
    </w:p>
    <w:p w14:paraId="5A9B45BB">
      <w:pPr>
        <w:spacing w:line="500" w:lineRule="exact"/>
        <w:ind w:firstLine="645"/>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教学科研：至少在苏州市级（含）以上发表论文1篇或在常熟市级（含）以上论文评比中获二等奖（含）以上1篇或主持（参与）常熟市级立项课题、主持微型课题研究，并已结题。</w:t>
      </w:r>
    </w:p>
    <w:p w14:paraId="3847087D">
      <w:pPr>
        <w:spacing w:line="500" w:lineRule="exact"/>
        <w:ind w:firstLine="645"/>
        <w:rPr>
          <w:rFonts w:hint="default" w:eastAsia="仿宋_GB2312"/>
          <w:color w:val="000000"/>
          <w:sz w:val="32"/>
          <w:szCs w:val="32"/>
          <w:highlight w:val="none"/>
          <w:lang w:val="en-US" w:eastAsia="zh-CN"/>
        </w:rPr>
      </w:pPr>
      <w:r>
        <w:rPr>
          <w:rFonts w:hint="eastAsia" w:eastAsia="仿宋_GB2312"/>
          <w:color w:val="000000"/>
          <w:sz w:val="32"/>
          <w:szCs w:val="32"/>
          <w:highlight w:val="none"/>
          <w:lang w:val="en-US" w:eastAsia="zh-CN"/>
        </w:rPr>
        <w:t>辐射作用：担任校级行政工作并有效开展骨干教师培养或担任教研组长（教学类、德育类、科研类组长）并有效开展活动取得实绩或担任学校“青蓝工程”指导老师并指导青年教师取得实绩或担任市级及以上学科类（德育类、科研类）中心组（协作组）成员并发挥作用。</w:t>
      </w:r>
    </w:p>
    <w:p w14:paraId="144699E5">
      <w:pPr>
        <w:spacing w:line="500" w:lineRule="exact"/>
        <w:ind w:firstLine="645"/>
        <w:rPr>
          <w:rFonts w:hint="eastAsia" w:eastAsia="仿宋_GB2312"/>
          <w:color w:val="000000"/>
          <w:sz w:val="32"/>
          <w:szCs w:val="32"/>
          <w:highlight w:val="none"/>
        </w:rPr>
      </w:pPr>
      <w:r>
        <w:rPr>
          <w:rFonts w:hint="eastAsia" w:eastAsia="仿宋_GB2312"/>
          <w:color w:val="000000"/>
          <w:sz w:val="32"/>
          <w:szCs w:val="32"/>
          <w:highlight w:val="none"/>
          <w:lang w:val="en-US" w:eastAsia="zh-CN"/>
        </w:rPr>
        <w:t>经复核，连续</w:t>
      </w:r>
      <w:r>
        <w:rPr>
          <w:rFonts w:eastAsia="仿宋_GB2312"/>
          <w:color w:val="000000"/>
          <w:sz w:val="32"/>
          <w:szCs w:val="32"/>
          <w:highlight w:val="none"/>
        </w:rPr>
        <w:t>六年</w:t>
      </w:r>
      <w:r>
        <w:rPr>
          <w:rFonts w:hint="eastAsia" w:eastAsia="仿宋_GB2312"/>
          <w:color w:val="000000"/>
          <w:sz w:val="32"/>
          <w:szCs w:val="32"/>
          <w:highlight w:val="none"/>
          <w:lang w:val="en-US" w:eastAsia="zh-CN"/>
        </w:rPr>
        <w:t>未发挥示范引领作用的，</w:t>
      </w:r>
      <w:r>
        <w:rPr>
          <w:rFonts w:eastAsia="仿宋_GB2312"/>
          <w:color w:val="000000"/>
          <w:kern w:val="0"/>
          <w:sz w:val="32"/>
          <w:szCs w:val="32"/>
          <w:highlight w:val="none"/>
        </w:rPr>
        <w:t>保留骨干称号，</w:t>
      </w:r>
      <w:r>
        <w:rPr>
          <w:rFonts w:hint="eastAsia" w:eastAsia="仿宋_GB2312"/>
          <w:color w:val="000000"/>
          <w:kern w:val="0"/>
          <w:sz w:val="32"/>
          <w:szCs w:val="32"/>
          <w:highlight w:val="none"/>
          <w:lang w:val="en-US" w:eastAsia="zh-CN"/>
        </w:rPr>
        <w:t>当年度起暂</w:t>
      </w:r>
      <w:r>
        <w:rPr>
          <w:rFonts w:eastAsia="仿宋_GB2312"/>
          <w:color w:val="000000"/>
          <w:kern w:val="0"/>
          <w:sz w:val="32"/>
          <w:szCs w:val="32"/>
          <w:highlight w:val="none"/>
        </w:rPr>
        <w:t>不享受骨干待遇</w:t>
      </w:r>
      <w:r>
        <w:rPr>
          <w:rFonts w:hint="eastAsia" w:eastAsia="仿宋_GB2312"/>
          <w:color w:val="000000"/>
          <w:kern w:val="0"/>
          <w:sz w:val="32"/>
          <w:szCs w:val="32"/>
          <w:highlight w:val="none"/>
          <w:lang w:eastAsia="zh-CN"/>
        </w:rPr>
        <w:t>。</w:t>
      </w:r>
      <w:r>
        <w:rPr>
          <w:rFonts w:hint="eastAsia" w:eastAsia="仿宋_GB2312"/>
          <w:color w:val="000000"/>
          <w:kern w:val="0"/>
          <w:sz w:val="32"/>
          <w:szCs w:val="32"/>
          <w:highlight w:val="none"/>
          <w:lang w:val="en-US" w:eastAsia="zh-CN"/>
        </w:rPr>
        <w:t>可参加下一轮复评，经复核起到示范引领作用的，次年起恢复骨干待遇</w:t>
      </w:r>
      <w:r>
        <w:rPr>
          <w:rFonts w:hint="eastAsia" w:eastAsia="仿宋_GB2312"/>
          <w:color w:val="000000"/>
          <w:sz w:val="32"/>
          <w:szCs w:val="32"/>
          <w:highlight w:val="none"/>
        </w:rPr>
        <w:t>。</w:t>
      </w:r>
    </w:p>
    <w:p w14:paraId="143B8197">
      <w:pPr>
        <w:spacing w:line="500" w:lineRule="exact"/>
        <w:ind w:firstLine="645"/>
        <w:rPr>
          <w:rFonts w:hint="eastAsia" w:eastAsia="仿宋_GB2312"/>
          <w:color w:val="000000"/>
          <w:sz w:val="32"/>
          <w:szCs w:val="32"/>
          <w:highlight w:val="none"/>
        </w:rPr>
      </w:pPr>
      <w:r>
        <w:rPr>
          <w:rFonts w:eastAsia="仿宋_GB2312"/>
          <w:color w:val="000000"/>
          <w:sz w:val="32"/>
          <w:szCs w:val="32"/>
          <w:highlight w:val="none"/>
        </w:rPr>
        <w:t>（</w:t>
      </w:r>
      <w:r>
        <w:rPr>
          <w:rFonts w:hint="eastAsia" w:eastAsia="仿宋_GB2312"/>
          <w:color w:val="000000"/>
          <w:sz w:val="32"/>
          <w:szCs w:val="32"/>
          <w:highlight w:val="none"/>
          <w:lang w:val="en-US" w:eastAsia="zh-CN"/>
        </w:rPr>
        <w:t>5</w:t>
      </w:r>
      <w:r>
        <w:rPr>
          <w:rFonts w:hint="eastAsia" w:eastAsia="仿宋_GB2312"/>
          <w:color w:val="000000"/>
          <w:sz w:val="32"/>
          <w:szCs w:val="32"/>
          <w:highlight w:val="none"/>
        </w:rPr>
        <w:t>）复评人员存在因相关规定或服从工作安排未从事本学科教学等情况的，需在复评材料中出具盖章后的证明材料或情况说明。</w:t>
      </w:r>
    </w:p>
    <w:p w14:paraId="649E8E20">
      <w:pPr>
        <w:spacing w:line="500" w:lineRule="exact"/>
        <w:ind w:firstLine="645"/>
        <w:rPr>
          <w:rFonts w:hint="eastAsia" w:eastAsia="仿宋_GB2312"/>
          <w:color w:val="000000"/>
          <w:sz w:val="32"/>
          <w:szCs w:val="32"/>
          <w:highlight w:val="none"/>
        </w:rPr>
      </w:pPr>
      <w:r>
        <w:rPr>
          <w:rFonts w:eastAsia="仿宋_GB2312"/>
          <w:color w:val="000000"/>
          <w:sz w:val="32"/>
          <w:szCs w:val="32"/>
          <w:highlight w:val="none"/>
        </w:rPr>
        <w:t>（</w:t>
      </w:r>
      <w:r>
        <w:rPr>
          <w:rFonts w:hint="eastAsia" w:eastAsia="仿宋_GB2312"/>
          <w:color w:val="000000"/>
          <w:sz w:val="32"/>
          <w:szCs w:val="32"/>
          <w:highlight w:val="none"/>
          <w:lang w:val="en-US" w:eastAsia="zh-CN"/>
        </w:rPr>
        <w:t>6</w:t>
      </w:r>
      <w:r>
        <w:rPr>
          <w:rFonts w:hint="eastAsia" w:eastAsia="仿宋_GB2312"/>
          <w:color w:val="000000"/>
          <w:sz w:val="32"/>
          <w:szCs w:val="32"/>
          <w:highlight w:val="none"/>
        </w:rPr>
        <w:t>）复评材料涉及骨干年度考核登记表存档，可在评审结束后领回（领回具体时间以通知为准）。</w:t>
      </w:r>
    </w:p>
    <w:p w14:paraId="6DA0AF02">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10600010101010101"/>
    <w:charset w:val="86"/>
    <w:family w:val="auto"/>
    <w:pitch w:val="default"/>
    <w:sig w:usb0="00000001" w:usb1="080E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BD1F9"/>
    <w:rsid w:val="4BF6AA4E"/>
    <w:rsid w:val="4DBBA942"/>
    <w:rsid w:val="4EFE602D"/>
    <w:rsid w:val="5B779CB9"/>
    <w:rsid w:val="7BCF98D3"/>
    <w:rsid w:val="7FDBD1F9"/>
    <w:rsid w:val="99F963DA"/>
    <w:rsid w:val="BBEE93AA"/>
    <w:rsid w:val="C7D731CA"/>
    <w:rsid w:val="DA7F9C0F"/>
    <w:rsid w:val="DCFF2E86"/>
    <w:rsid w:val="FF5B4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2025-03-03T16:03:00Z</dcterms:created>
  <dc:creator>Awesome</dc:creator>
  <cp:lastModifiedBy>Awesome</cp:lastModifiedBy>
  <cp:lastPrinted>2025-03-18T05:56:00Z</cp:lastPrinted>
  <dcterms:modified xsi:type="dcterms:W3CDTF">2025-05-19T09:30:47Z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57FF74059EEB98D66C3AD667D49F2116_43</vt:lpwstr>
  </property>
</Properties>
</file>