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常熟高新园中等专业学校第1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批微型课题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结题评审结果汇总</w:t>
      </w:r>
    </w:p>
    <w:bookmarkEnd w:id="0"/>
    <w:tbl>
      <w:tblPr>
        <w:tblStyle w:val="3"/>
        <w:tblW w:w="9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997"/>
        <w:gridCol w:w="1232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5997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课题名称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教师姓名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结题等级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学科核心素养导向下的中职英语听说课例研究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  <w:t>俞妍旻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中职学校创新创业教育探索与实践_以常熟高新园中专为例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  <w:t>虞叶鸣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3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中职校《计算机辅助设计》项目课程的开发与利用的研究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  <w:t>金文瑛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4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基于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知行合一，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德技并修人才培养理念的中职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家具班一体化教学实践研究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  <w:t>许佳秋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5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“模仿、借鉴、创新”在中职版式设计课程中的教学探索与实践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  <w:t>李茜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6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职教信息技术课程教学现状与对策研究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  <w:t>朱炎均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7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民族民间舞中的旋转技巧分析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  <w:t>黄越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8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基于学科核心素养的中职英语阅读教学课例研究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  <w:t>石惠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9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中职艺术设计专业《素描》课程中融入思政元素的教学实践研究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  <w:t>王俊方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10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运用镜头语言提升中职生诗歌意象审美鉴赏能力的研究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  <w:t>赵静洁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11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将信息技术融于专业课程打造高质量课堂的实践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  <w:t>陈婷婷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12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借助信息技术构建以提高学生思维能力的高质量课堂的实践研究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  <w:t>张洁琼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13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基于信息技术手段在机电专业教学中的研究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  <w:t>顾薇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14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信息技术在中职机电专业综合课程中的实践研究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  <w:t>吴亚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“岗课赛证”融通育人模式下基于1+X证书的中职旅游管理专业课证融合模式探究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  <w:t>邵吉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分层教学在中职校园啦啦操教学中的应用研究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  <w:t>戴佳茹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基于课程思政旅游专业课程学习设计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  <w:t>薛冰洁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形体礼仪课的岗课证融通教学模式探索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  <w:t>赵溪楉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“岗课赛证”融通育人模式下培养中职学生语文核心素养的综合实践活动研究——以旅游服务与管理专业一年级学生为例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  <w:t>冯洁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新时代之下中职旅游专业三年级学生职业生涯规划现状与对策探析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  <w:t>张  丹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基于“以赛促教、以赛促学”模式下课赛融通的研究----以中职旅游管理专业为例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  <w:t>吕玉琼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“岗课赛证”融通育人模式下中职《导游业务》课程教学模式探究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  <w:t>陆新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构建中职数学互动课堂的教学策略研究与实践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  <w:t>李芳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项目学习在中职英语阅读教学中的研究与实践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  <w:t>谈晓敏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基于核心素养下学生兴趣的培养实践研究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  <w:t>温鋆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中职数学网络课程教学提升数学核心素养的实践研究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倪颖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</w:tr>
    </w:tbl>
    <w:p>
      <w:pPr>
        <w:jc w:val="right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（2023年10月21日星期六）</w:t>
      </w:r>
    </w:p>
    <w:p>
      <w:pPr>
        <w:rPr>
          <w:rFonts w:hint="default"/>
          <w:b w:val="0"/>
          <w:bCs w:val="0"/>
          <w:color w:val="auto"/>
          <w:lang w:val="en-US" w:eastAsia="zh-CN"/>
        </w:rPr>
      </w:pPr>
    </w:p>
    <w:sectPr>
      <w:pgSz w:w="11906" w:h="16838"/>
      <w:pgMar w:top="1440" w:right="140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N2MxMjAyNGE3MzdiNmVhYjgxY2JhNjcxZTViNGIifQ=="/>
  </w:docVars>
  <w:rsids>
    <w:rsidRoot w:val="52CE5AB5"/>
    <w:rsid w:val="12445622"/>
    <w:rsid w:val="176B7708"/>
    <w:rsid w:val="29D33757"/>
    <w:rsid w:val="52CE5AB5"/>
    <w:rsid w:val="6EE2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2023-10-20T05:04:00Z</dcterms:created>
  <dc:creator>娜姐</dc:creator>
  <cp:lastModifiedBy>娜姐</cp:lastModifiedBy>
  <cp:lastPrinted>2023-10-20T15:31:00Z</cp:lastPrinted>
  <dcterms:modified xsi:type="dcterms:W3CDTF">2023-12-07T13:14:02Z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B895A212315F413F8499C0E6C9695A10_13</vt:lpwstr>
  </property>
</Properties>
</file>